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43193919"/>
        <w:docPartObj>
          <w:docPartGallery w:val="Cover Pages"/>
          <w:docPartUnique/>
        </w:docPartObj>
      </w:sdtPr>
      <w:sdtEndPr>
        <w:rPr>
          <w:rStyle w:val="SubtleReference"/>
          <w:smallCaps/>
          <w:color w:val="C0504D" w:themeColor="accent2"/>
          <w:sz w:val="28"/>
          <w:u w:val="single"/>
        </w:rPr>
      </w:sdtEndPr>
      <w:sdtContent>
        <w:p w:rsidR="00A8100E" w:rsidRDefault="00A8100E">
          <w:r>
            <w:rPr>
              <w:noProof/>
            </w:rPr>
            <mc:AlternateContent>
              <mc:Choice Requires="wps">
                <w:drawing>
                  <wp:anchor distT="0" distB="0" distL="114300" distR="114300" simplePos="0" relativeHeight="251660288" behindDoc="1" locked="0" layoutInCell="1" allowOverlap="1" wp14:anchorId="332E8520" wp14:editId="1AB5FA70">
                    <wp:simplePos x="0" y="0"/>
                    <wp:positionH relativeFrom="margin">
                      <wp:align>center</wp:align>
                    </wp:positionH>
                    <mc:AlternateContent>
                      <mc:Choice Requires="wp14">
                        <wp:positionV relativeFrom="margin">
                          <wp14:pctPosVOffset>-5000</wp14:pctPosVOffset>
                        </wp:positionV>
                      </mc:Choice>
                      <mc:Fallback>
                        <wp:positionV relativeFrom="page">
                          <wp:posOffset>-108585</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FFFFFF" w:themeColor="background1"/>
                                    <w:sz w:val="52"/>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p w:rsidR="00A8100E" w:rsidRPr="00A8100E" w:rsidRDefault="00A8100E">
                                    <w:pPr>
                                      <w:pStyle w:val="NoSpacing"/>
                                      <w:rPr>
                                        <w:rFonts w:asciiTheme="majorHAnsi" w:eastAsiaTheme="majorEastAsia" w:hAnsiTheme="majorHAnsi" w:cstheme="majorBidi"/>
                                        <w:color w:val="FFFFFF" w:themeColor="background1"/>
                                        <w:sz w:val="52"/>
                                        <w:szCs w:val="72"/>
                                      </w:rPr>
                                    </w:pPr>
                                    <w:r w:rsidRPr="00A8100E">
                                      <w:rPr>
                                        <w:rFonts w:asciiTheme="majorHAnsi" w:eastAsiaTheme="majorEastAsia" w:hAnsiTheme="majorHAnsi" w:cstheme="majorBidi"/>
                                        <w:color w:val="FFFFFF" w:themeColor="background1"/>
                                        <w:sz w:val="52"/>
                                        <w:szCs w:val="72"/>
                                      </w:rPr>
                                      <w:t xml:space="preserve">West Alabama Coalition for the Homeless </w:t>
                                    </w:r>
                                    <w:r>
                                      <w:rPr>
                                        <w:rFonts w:asciiTheme="majorHAnsi" w:eastAsiaTheme="majorEastAsia" w:hAnsiTheme="majorHAnsi" w:cstheme="majorBidi"/>
                                        <w:color w:val="FFFFFF" w:themeColor="background1"/>
                                        <w:sz w:val="52"/>
                                        <w:szCs w:val="72"/>
                                      </w:rPr>
                                      <w:t>Ranking and Selection Process for Continuum of Care Project Applications</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w14:anchorId="332E8520" id="Rectangle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Theme="majorHAnsi" w:eastAsiaTheme="majorEastAsia" w:hAnsiTheme="majorHAnsi" w:cstheme="majorBidi"/>
                              <w:color w:val="FFFFFF" w:themeColor="background1"/>
                              <w:sz w:val="52"/>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p w:rsidR="00A8100E" w:rsidRPr="00A8100E" w:rsidRDefault="00A8100E">
                              <w:pPr>
                                <w:pStyle w:val="NoSpacing"/>
                                <w:rPr>
                                  <w:rFonts w:asciiTheme="majorHAnsi" w:eastAsiaTheme="majorEastAsia" w:hAnsiTheme="majorHAnsi" w:cstheme="majorBidi"/>
                                  <w:color w:val="FFFFFF" w:themeColor="background1"/>
                                  <w:sz w:val="52"/>
                                  <w:szCs w:val="72"/>
                                </w:rPr>
                              </w:pPr>
                              <w:r w:rsidRPr="00A8100E">
                                <w:rPr>
                                  <w:rFonts w:asciiTheme="majorHAnsi" w:eastAsiaTheme="majorEastAsia" w:hAnsiTheme="majorHAnsi" w:cstheme="majorBidi"/>
                                  <w:color w:val="FFFFFF" w:themeColor="background1"/>
                                  <w:sz w:val="52"/>
                                  <w:szCs w:val="72"/>
                                </w:rPr>
                                <w:t xml:space="preserve">West Alabama Coalition for the Homeless </w:t>
                              </w:r>
                              <w:r>
                                <w:rPr>
                                  <w:rFonts w:asciiTheme="majorHAnsi" w:eastAsiaTheme="majorEastAsia" w:hAnsiTheme="majorHAnsi" w:cstheme="majorBidi"/>
                                  <w:color w:val="FFFFFF" w:themeColor="background1"/>
                                  <w:sz w:val="52"/>
                                  <w:szCs w:val="72"/>
                                </w:rPr>
                                <w:t>Ranking and Selection Process for Continuum of Care Project Applications</w:t>
                              </w:r>
                            </w:p>
                          </w:sdtContent>
                        </w:sdt>
                      </w:txbxContent>
                    </v:textbox>
                    <w10:wrap anchorx="margin" anchory="margin"/>
                  </v:rect>
                </w:pict>
              </mc:Fallback>
            </mc:AlternateContent>
          </w:r>
        </w:p>
        <w:p w:rsidR="00A8100E" w:rsidRDefault="00A8100E"/>
        <w:p w:rsidR="00A8100E" w:rsidRDefault="00A8100E"/>
        <w:p w:rsidR="00A8100E" w:rsidRDefault="00A8100E"/>
        <w:p w:rsidR="00A8100E" w:rsidRDefault="00A8100E">
          <w:pPr>
            <w:rPr>
              <w:rStyle w:val="SubtleReference"/>
              <w:color w:val="auto"/>
              <w:sz w:val="28"/>
            </w:rPr>
          </w:pPr>
          <w:r>
            <w:rPr>
              <w:noProof/>
            </w:rPr>
            <mc:AlternateContent>
              <mc:Choice Requires="wps">
                <w:drawing>
                  <wp:anchor distT="0" distB="0" distL="114300" distR="114300" simplePos="0" relativeHeight="251662336" behindDoc="0" locked="0" layoutInCell="1" allowOverlap="1" wp14:anchorId="52555E0C" wp14:editId="3005D784">
                    <wp:simplePos x="0" y="0"/>
                    <mc:AlternateContent>
                      <mc:Choice Requires="wp14">
                        <wp:positionH relativeFrom="margin">
                          <wp14:pctPosHOffset>-5000</wp14:pctPosHOffset>
                        </wp:positionH>
                      </mc:Choice>
                      <mc:Fallback>
                        <wp:positionH relativeFrom="page">
                          <wp:posOffset>617220</wp:posOffset>
                        </wp:positionH>
                      </mc:Fallback>
                    </mc:AlternateContent>
                    <mc:AlternateContent>
                      <mc:Choice Requires="wp14">
                        <wp:positionV relativeFrom="margin">
                          <wp14:pctPosVOffset>59000</wp14:pctPosVOffset>
                        </wp:positionV>
                      </mc:Choice>
                      <mc:Fallback>
                        <wp:positionV relativeFrom="page">
                          <wp:posOffset>5669915</wp:posOffset>
                        </wp:positionV>
                      </mc:Fallback>
                    </mc:AlternateContent>
                    <wp:extent cx="2941955" cy="370332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1F497D"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EndPr/>
                                <w:sdtContent>
                                  <w:p w:rsidR="00A8100E" w:rsidRDefault="00BD6F0B">
                                    <w:pPr>
                                      <w:suppressOverlap/>
                                      <w:jc w:val="right"/>
                                      <w:rPr>
                                        <w:b/>
                                        <w:bCs/>
                                        <w:color w:val="1F497D" w:themeColor="text2"/>
                                        <w:spacing w:val="60"/>
                                        <w:sz w:val="20"/>
                                        <w:szCs w:val="20"/>
                                      </w:rPr>
                                    </w:pPr>
                                    <w:r>
                                      <w:rPr>
                                        <w:b/>
                                        <w:bCs/>
                                        <w:color w:val="1F497D" w:themeColor="text2"/>
                                        <w:spacing w:val="60"/>
                                        <w:sz w:val="20"/>
                                        <w:szCs w:val="20"/>
                                      </w:rPr>
                                      <w:t>Veteran Affairs</w:t>
                                    </w:r>
                                  </w:p>
                                </w:sdtContent>
                              </w:sdt>
                              <w:sdt>
                                <w:sdtPr>
                                  <w:rPr>
                                    <w:b/>
                                    <w:bCs/>
                                    <w:color w:val="1F497D" w:themeColor="text2"/>
                                    <w:spacing w:val="60"/>
                                    <w:sz w:val="20"/>
                                    <w:szCs w:val="20"/>
                                  </w:rPr>
                                  <w:alias w:val="Address"/>
                                  <w:id w:val="2146780284"/>
                                  <w:showingPlcHdr/>
                                  <w:dataBinding w:prefixMappings="xmlns:ns0='http://schemas.microsoft.com/office/2006/coverPageProps'" w:xpath="/ns0:CoverPageProperties[1]/ns0:CompanyAddress[1]" w:storeItemID="{55AF091B-3C7A-41E3-B477-F2FDAA23CFDA}"/>
                                  <w:text w:multiLine="1"/>
                                </w:sdtPr>
                                <w:sdtEndPr/>
                                <w:sdtContent>
                                  <w:p w:rsidR="00A8100E" w:rsidRDefault="00A8100E">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Phone"/>
                                  <w:id w:val="-1647660158"/>
                                  <w:showingPlcHdr/>
                                  <w:dataBinding w:prefixMappings="xmlns:ns0='http://schemas.microsoft.com/office/2006/coverPageProps'" w:xpath="/ns0:CoverPageProperties[1]/ns0:CompanyPhone[1]" w:storeItemID="{55AF091B-3C7A-41E3-B477-F2FDAA23CFDA}"/>
                                  <w:text/>
                                </w:sdtPr>
                                <w:sdtEndPr/>
                                <w:sdtContent>
                                  <w:p w:rsidR="00A8100E" w:rsidRDefault="00A8100E">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Fax"/>
                                  <w:id w:val="-621461224"/>
                                  <w:showingPlcHdr/>
                                  <w:dataBinding w:prefixMappings="xmlns:ns0='http://schemas.microsoft.com/office/2006/coverPageProps'" w:xpath="/ns0:CoverPageProperties[1]/ns0:CompanyFax[1]" w:storeItemID="{55AF091B-3C7A-41E3-B477-F2FDAA23CFDA}"/>
                                  <w:text/>
                                </w:sdtPr>
                                <w:sdtEndPr/>
                                <w:sdtContent>
                                  <w:p w:rsidR="00A8100E" w:rsidRDefault="00A8100E">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Date"/>
                                  <w:id w:val="-200465162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A8100E" w:rsidRDefault="00A8100E">
                                    <w:pPr>
                                      <w:suppressOverlap/>
                                      <w:jc w:val="right"/>
                                      <w:rPr>
                                        <w:b/>
                                        <w:bCs/>
                                        <w:color w:val="1F497D" w:themeColor="text2"/>
                                        <w:spacing w:val="60"/>
                                        <w:sz w:val="20"/>
                                        <w:szCs w:val="20"/>
                                      </w:rPr>
                                    </w:pPr>
                                    <w:r>
                                      <w:rPr>
                                        <w:b/>
                                        <w:bCs/>
                                        <w:color w:val="1F497D" w:themeColor="text2"/>
                                        <w:spacing w:val="60"/>
                                        <w:sz w:val="20"/>
                                        <w:szCs w:val="20"/>
                                      </w:rPr>
                                      <w:t xml:space="preserve">     </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Text Box 386" o:spid="_x0000_s1027" type="#_x0000_t202" style="position:absolute;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kYfwIAAG4FAAAOAAAAZHJzL2Uyb0RvYy54bWysVEtPGzEQvlfqf7B8L5sHUBKxQSmIqhIC&#10;VKg4O16brGp73LGT3fTXM/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" filled="f" stroked="f" strokeweight=".5pt">
                    <v:textbox inset=",7.2pt,,7.2pt">
                      <w:txbxContent>
                        <w:sdt>
                          <w:sdtPr>
                            <w:rPr>
                              <w:b/>
                              <w:bCs/>
                              <w:color w:val="1F497D"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EndPr/>
                          <w:sdtContent>
                            <w:p w:rsidR="00A8100E" w:rsidRDefault="00BD6F0B">
                              <w:pPr>
                                <w:suppressOverlap/>
                                <w:jc w:val="right"/>
                                <w:rPr>
                                  <w:b/>
                                  <w:bCs/>
                                  <w:color w:val="1F497D" w:themeColor="text2"/>
                                  <w:spacing w:val="60"/>
                                  <w:sz w:val="20"/>
                                  <w:szCs w:val="20"/>
                                </w:rPr>
                              </w:pPr>
                              <w:r>
                                <w:rPr>
                                  <w:b/>
                                  <w:bCs/>
                                  <w:color w:val="1F497D" w:themeColor="text2"/>
                                  <w:spacing w:val="60"/>
                                  <w:sz w:val="20"/>
                                  <w:szCs w:val="20"/>
                                </w:rPr>
                                <w:t>Veteran Affairs</w:t>
                              </w:r>
                            </w:p>
                          </w:sdtContent>
                        </w:sdt>
                        <w:sdt>
                          <w:sdtPr>
                            <w:rPr>
                              <w:b/>
                              <w:bCs/>
                              <w:color w:val="1F497D" w:themeColor="text2"/>
                              <w:spacing w:val="60"/>
                              <w:sz w:val="20"/>
                              <w:szCs w:val="20"/>
                            </w:rPr>
                            <w:alias w:val="Address"/>
                            <w:id w:val="2146780284"/>
                            <w:showingPlcHdr/>
                            <w:dataBinding w:prefixMappings="xmlns:ns0='http://schemas.microsoft.com/office/2006/coverPageProps'" w:xpath="/ns0:CoverPageProperties[1]/ns0:CompanyAddress[1]" w:storeItemID="{55AF091B-3C7A-41E3-B477-F2FDAA23CFDA}"/>
                            <w:text w:multiLine="1"/>
                          </w:sdtPr>
                          <w:sdtEndPr/>
                          <w:sdtContent>
                            <w:p w:rsidR="00A8100E" w:rsidRDefault="00A8100E">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Phone"/>
                            <w:id w:val="-1647660158"/>
                            <w:showingPlcHdr/>
                            <w:dataBinding w:prefixMappings="xmlns:ns0='http://schemas.microsoft.com/office/2006/coverPageProps'" w:xpath="/ns0:CoverPageProperties[1]/ns0:CompanyPhone[1]" w:storeItemID="{55AF091B-3C7A-41E3-B477-F2FDAA23CFDA}"/>
                            <w:text/>
                          </w:sdtPr>
                          <w:sdtEndPr/>
                          <w:sdtContent>
                            <w:p w:rsidR="00A8100E" w:rsidRDefault="00A8100E">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Fax"/>
                            <w:id w:val="-621461224"/>
                            <w:showingPlcHdr/>
                            <w:dataBinding w:prefixMappings="xmlns:ns0='http://schemas.microsoft.com/office/2006/coverPageProps'" w:xpath="/ns0:CoverPageProperties[1]/ns0:CompanyFax[1]" w:storeItemID="{55AF091B-3C7A-41E3-B477-F2FDAA23CFDA}"/>
                            <w:text/>
                          </w:sdtPr>
                          <w:sdtEndPr/>
                          <w:sdtContent>
                            <w:p w:rsidR="00A8100E" w:rsidRDefault="00A8100E">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Date"/>
                            <w:id w:val="-200465162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A8100E" w:rsidRDefault="00A8100E">
                              <w:pPr>
                                <w:suppressOverlap/>
                                <w:jc w:val="right"/>
                                <w:rPr>
                                  <w:b/>
                                  <w:bCs/>
                                  <w:color w:val="1F497D" w:themeColor="text2"/>
                                  <w:spacing w:val="60"/>
                                  <w:sz w:val="20"/>
                                  <w:szCs w:val="20"/>
                                </w:rPr>
                              </w:pPr>
                              <w:r>
                                <w:rPr>
                                  <w:b/>
                                  <w:bCs/>
                                  <w:color w:val="1F497D" w:themeColor="text2"/>
                                  <w:spacing w:val="60"/>
                                  <w:sz w:val="20"/>
                                  <w:szCs w:val="20"/>
                                </w:rPr>
                                <w:t xml:space="preserve">     </w:t>
                              </w:r>
                            </w:p>
                          </w:sdtContent>
                        </w:sdt>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6B299EAB" wp14:editId="36B8FD68">
                    <wp:simplePos x="0" y="0"/>
                    <mc:AlternateContent>
                      <mc:Choice Requires="wp14">
                        <wp:positionH relativeFrom="margin">
                          <wp14:pctPosHOffset>44500</wp14:pctPosHOffset>
                        </wp:positionH>
                      </mc:Choice>
                      <mc:Fallback>
                        <wp:positionH relativeFrom="page">
                          <wp:posOffset>3559175</wp:posOffset>
                        </wp:positionH>
                      </mc:Fallback>
                    </mc:AlternateContent>
                    <mc:AlternateContent>
                      <mc:Choice Requires="wp14">
                        <wp:positionV relativeFrom="margin">
                          <wp14:pctPosVOffset>59000</wp14:pctPosVOffset>
                        </wp:positionV>
                      </mc:Choice>
                      <mc:Fallback>
                        <wp:positionV relativeFrom="page">
                          <wp:posOffset>5669915</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404040" w:themeColor="text1" w:themeTint="BF"/>
                                    <w:sz w:val="24"/>
                                  </w:rPr>
                                  <w:alias w:val="Abstract"/>
                                  <w:id w:val="-1607958633"/>
                                  <w:showingPlcHdr/>
                                  <w:dataBinding w:prefixMappings="xmlns:ns0='http://schemas.microsoft.com/office/2006/coverPageProps'" w:xpath="/ns0:CoverPageProperties[1]/ns0:Abstract[1]" w:storeItemID="{55AF091B-3C7A-41E3-B477-F2FDAA23CFDA}"/>
                                  <w:text/>
                                </w:sdtPr>
                                <w:sdtEndPr/>
                                <w:sdtContent>
                                  <w:p w:rsidR="00A8100E" w:rsidRPr="00A8100E" w:rsidRDefault="00240CB1">
                                    <w:pPr>
                                      <w:suppressOverlap/>
                                      <w:rPr>
                                        <w:color w:val="404040" w:themeColor="text1" w:themeTint="BF"/>
                                        <w:sz w:val="24"/>
                                      </w:rPr>
                                    </w:pPr>
                                    <w:r>
                                      <w:rPr>
                                        <w:color w:val="404040" w:themeColor="text1" w:themeTint="BF"/>
                                        <w:sz w:val="24"/>
                                      </w:rPr>
                                      <w:t xml:space="preserve">     </w:t>
                                    </w:r>
                                  </w:p>
                                </w:sdtContent>
                              </w:sdt>
                              <w:p w:rsidR="00A8100E" w:rsidRDefault="00240CB1">
                                <w:pPr>
                                  <w:rPr>
                                    <w:color w:val="404040" w:themeColor="text1" w:themeTint="BF"/>
                                    <w:sz w:val="24"/>
                                  </w:rPr>
                                </w:pPr>
                                <w:r>
                                  <w:rPr>
                                    <w:color w:val="404040" w:themeColor="text1" w:themeTint="BF"/>
                                    <w:sz w:val="24"/>
                                  </w:rPr>
                                  <w:t xml:space="preserve">                    </w:t>
                                </w:r>
                              </w:p>
                              <w:p w:rsidR="00A8100E" w:rsidRDefault="00A8100E">
                                <w:pPr>
                                  <w:rPr>
                                    <w:color w:val="404040" w:themeColor="text1" w:themeTint="BF"/>
                                    <w:sz w:val="24"/>
                                  </w:rPr>
                                </w:pPr>
                              </w:p>
                              <w:p w:rsidR="00A8100E" w:rsidRDefault="00A8100E">
                                <w:pPr>
                                  <w:rPr>
                                    <w:color w:val="404040" w:themeColor="text1" w:themeTint="BF"/>
                                    <w:sz w:val="24"/>
                                  </w:rPr>
                                </w:pPr>
                              </w:p>
                              <w:p w:rsidR="00A8100E" w:rsidRDefault="00A8100E">
                                <w:pPr>
                                  <w:rPr>
                                    <w:color w:val="404040" w:themeColor="text1" w:themeTint="BF"/>
                                    <w:sz w:val="24"/>
                                  </w:rPr>
                                </w:pPr>
                              </w:p>
                              <w:p w:rsidR="00A8100E" w:rsidRDefault="00A8100E">
                                <w:pPr>
                                  <w:rPr>
                                    <w:color w:val="404040" w:themeColor="text1" w:themeTint="BF"/>
                                    <w:sz w:val="24"/>
                                  </w:rPr>
                                </w:pPr>
                              </w:p>
                              <w:p w:rsidR="00A8100E" w:rsidRDefault="00A8100E">
                                <w:pPr>
                                  <w:rPr>
                                    <w:color w:val="404040" w:themeColor="text1" w:themeTint="BF"/>
                                    <w:sz w:val="24"/>
                                  </w:rPr>
                                </w:pPr>
                              </w:p>
                              <w:p w:rsidR="00A8100E" w:rsidRDefault="00A8100E">
                                <w:pPr>
                                  <w:rPr>
                                    <w:color w:val="404040" w:themeColor="text1" w:themeTint="BF"/>
                                    <w:sz w:val="24"/>
                                  </w:rPr>
                                </w:pPr>
                              </w:p>
                              <w:p w:rsidR="00A8100E" w:rsidRPr="00A8100E" w:rsidRDefault="00A8100E" w:rsidP="00A8100E">
                                <w:pPr>
                                  <w:ind w:left="2160" w:firstLine="720"/>
                                  <w:rPr>
                                    <w:color w:val="404040" w:themeColor="text1" w:themeTint="BF"/>
                                    <w:sz w:val="18"/>
                                  </w:rPr>
                                </w:pP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w14:anchorId="6B299EAB" id="Text Box 387" o:spid="_x0000_s1028"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" filled="f" stroked="f" strokeweight=".5pt">
                    <v:textbox inset=",14.4pt,,7.2pt">
                      <w:txbxContent>
                        <w:sdt>
                          <w:sdtPr>
                            <w:rPr>
                              <w:color w:val="404040" w:themeColor="text1" w:themeTint="BF"/>
                              <w:sz w:val="24"/>
                            </w:rPr>
                            <w:alias w:val="Abstract"/>
                            <w:id w:val="-1607958633"/>
                            <w:showingPlcHdr/>
                            <w:dataBinding w:prefixMappings="xmlns:ns0='http://schemas.microsoft.com/office/2006/coverPageProps'" w:xpath="/ns0:CoverPageProperties[1]/ns0:Abstract[1]" w:storeItemID="{55AF091B-3C7A-41E3-B477-F2FDAA23CFDA}"/>
                            <w:text/>
                          </w:sdtPr>
                          <w:sdtEndPr/>
                          <w:sdtContent>
                            <w:p w:rsidR="00A8100E" w:rsidRPr="00A8100E" w:rsidRDefault="00240CB1">
                              <w:pPr>
                                <w:suppressOverlap/>
                                <w:rPr>
                                  <w:color w:val="404040" w:themeColor="text1" w:themeTint="BF"/>
                                  <w:sz w:val="24"/>
                                </w:rPr>
                              </w:pPr>
                              <w:r>
                                <w:rPr>
                                  <w:color w:val="404040" w:themeColor="text1" w:themeTint="BF"/>
                                  <w:sz w:val="24"/>
                                </w:rPr>
                                <w:t xml:space="preserve">     </w:t>
                              </w:r>
                            </w:p>
                          </w:sdtContent>
                        </w:sdt>
                        <w:p w:rsidR="00A8100E" w:rsidRDefault="00240CB1">
                          <w:pPr>
                            <w:rPr>
                              <w:color w:val="404040" w:themeColor="text1" w:themeTint="BF"/>
                              <w:sz w:val="24"/>
                            </w:rPr>
                          </w:pPr>
                          <w:r>
                            <w:rPr>
                              <w:color w:val="404040" w:themeColor="text1" w:themeTint="BF"/>
                              <w:sz w:val="24"/>
                            </w:rPr>
                            <w:t xml:space="preserve">                    </w:t>
                          </w:r>
                        </w:p>
                        <w:p w:rsidR="00A8100E" w:rsidRDefault="00A8100E">
                          <w:pPr>
                            <w:rPr>
                              <w:color w:val="404040" w:themeColor="text1" w:themeTint="BF"/>
                              <w:sz w:val="24"/>
                            </w:rPr>
                          </w:pPr>
                        </w:p>
                        <w:p w:rsidR="00A8100E" w:rsidRDefault="00A8100E">
                          <w:pPr>
                            <w:rPr>
                              <w:color w:val="404040" w:themeColor="text1" w:themeTint="BF"/>
                              <w:sz w:val="24"/>
                            </w:rPr>
                          </w:pPr>
                        </w:p>
                        <w:p w:rsidR="00A8100E" w:rsidRDefault="00A8100E">
                          <w:pPr>
                            <w:rPr>
                              <w:color w:val="404040" w:themeColor="text1" w:themeTint="BF"/>
                              <w:sz w:val="24"/>
                            </w:rPr>
                          </w:pPr>
                        </w:p>
                        <w:p w:rsidR="00A8100E" w:rsidRDefault="00A8100E">
                          <w:pPr>
                            <w:rPr>
                              <w:color w:val="404040" w:themeColor="text1" w:themeTint="BF"/>
                              <w:sz w:val="24"/>
                            </w:rPr>
                          </w:pPr>
                        </w:p>
                        <w:p w:rsidR="00A8100E" w:rsidRDefault="00A8100E">
                          <w:pPr>
                            <w:rPr>
                              <w:color w:val="404040" w:themeColor="text1" w:themeTint="BF"/>
                              <w:sz w:val="24"/>
                            </w:rPr>
                          </w:pPr>
                        </w:p>
                        <w:p w:rsidR="00A8100E" w:rsidRDefault="00A8100E">
                          <w:pPr>
                            <w:rPr>
                              <w:color w:val="404040" w:themeColor="text1" w:themeTint="BF"/>
                              <w:sz w:val="24"/>
                            </w:rPr>
                          </w:pPr>
                        </w:p>
                        <w:p w:rsidR="00A8100E" w:rsidRPr="00A8100E" w:rsidRDefault="00A8100E" w:rsidP="00A8100E">
                          <w:pPr>
                            <w:ind w:left="2160" w:firstLine="720"/>
                            <w:rPr>
                              <w:color w:val="404040" w:themeColor="text1" w:themeTint="BF"/>
                              <w:sz w:val="18"/>
                            </w:rPr>
                          </w:pP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14:anchorId="71DE5F36" wp14:editId="7AF7920D">
                    <wp:simplePos x="0" y="0"/>
                    <wp:positionH relativeFrom="margin">
                      <wp:align>center</wp:align>
                    </wp:positionH>
                    <mc:AlternateContent>
                      <mc:Choice Requires="wp14">
                        <wp:positionV relativeFrom="margin">
                          <wp14:pctPosVOffset>59000</wp14:pctPosVOffset>
                        </wp:positionV>
                      </mc:Choice>
                      <mc:Fallback>
                        <wp:positionV relativeFrom="page">
                          <wp:posOffset>5669915</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w14:anchorId="14145A4D"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Pr>
              <w:noProof/>
            </w:rPr>
            <mc:AlternateContent>
              <mc:Choice Requires="wpg">
                <w:drawing>
                  <wp:anchor distT="0" distB="0" distL="114300" distR="114300" simplePos="0" relativeHeight="251661312" behindDoc="0" locked="0" layoutInCell="1" allowOverlap="1" wp14:anchorId="06AAEB3F" wp14:editId="660F805D">
                    <wp:simplePos x="0" y="0"/>
                    <mc:AlternateContent>
                      <mc:Choice Requires="wp14">
                        <wp:positionH relativeFrom="page">
                          <wp14:pctPosHOffset>75000</wp14:pctPosHOffset>
                        </wp:positionH>
                      </mc:Choice>
                      <mc:Fallback>
                        <wp:positionH relativeFrom="page">
                          <wp:posOffset>5829300</wp:posOffset>
                        </wp:positionH>
                      </mc:Fallback>
                    </mc:AlternateContent>
                    <mc:AlternateContent>
                      <mc:Choice Requires="wp14">
                        <wp:positionV relativeFrom="page">
                          <wp14:pctPosVOffset>49000</wp14:pctPosVOffset>
                        </wp:positionV>
                      </mc:Choice>
                      <mc:Fallback>
                        <wp:positionV relativeFrom="page">
                          <wp:posOffset>4928235</wp:posOffset>
                        </wp:positionV>
                      </mc:Fallback>
                    </mc:AlternateContent>
                    <wp:extent cx="740664" cy="777240"/>
                    <wp:effectExtent l="19050" t="0" r="2286" b="0"/>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9446EC" id="Group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pZqQMAAMI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" adj="10330" fillcolor="#c4bc96 [2414]" stroked="f" strokecolor="white"/>
                    <v:shape id="AutoShape 9" o:spid="_x0000_s1028" type="#_x0000_t55" style="position:absolute;left:10659;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" adj="10330" fillcolor="#938953 [1614]" stroked="f" strokecolor="white"/>
                    <v:shape id="AutoShape 10" o:spid="_x0000_s1029" type="#_x0000_t55" style="position:absolute;left:10217;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" adj="10834" fillcolor="#484329 [814]" stroked="f" strokecolor="white"/>
                    <w10:wrap anchorx="page" anchory="page"/>
                  </v:group>
                </w:pict>
              </mc:Fallback>
            </mc:AlternateContent>
          </w:r>
          <w:r>
            <w:rPr>
              <w:rStyle w:val="SubtleReference"/>
              <w:color w:val="auto"/>
              <w:sz w:val="28"/>
            </w:rPr>
            <w:br w:type="page"/>
          </w:r>
        </w:p>
      </w:sdtContent>
    </w:sdt>
    <w:p w:rsidR="002912B4" w:rsidRDefault="002912B4" w:rsidP="00782D30">
      <w:pPr>
        <w:spacing w:line="240" w:lineRule="auto"/>
        <w:jc w:val="center"/>
        <w:rPr>
          <w:rStyle w:val="SubtleReference"/>
          <w:color w:val="auto"/>
          <w:sz w:val="28"/>
        </w:rPr>
      </w:pPr>
    </w:p>
    <w:p w:rsidR="00782D30" w:rsidRPr="00AC05B7" w:rsidRDefault="00782D30" w:rsidP="00782D30">
      <w:pPr>
        <w:spacing w:line="240" w:lineRule="auto"/>
        <w:jc w:val="center"/>
        <w:rPr>
          <w:rStyle w:val="SubtleReference"/>
          <w:color w:val="auto"/>
          <w:sz w:val="28"/>
        </w:rPr>
      </w:pPr>
      <w:r w:rsidRPr="00AC05B7">
        <w:rPr>
          <w:rStyle w:val="SubtleReference"/>
          <w:color w:val="auto"/>
          <w:sz w:val="28"/>
        </w:rPr>
        <w:t>West Alabama Coalition for the Homeless</w:t>
      </w:r>
    </w:p>
    <w:p w:rsidR="00782D30" w:rsidRPr="00782D30" w:rsidRDefault="00782D30" w:rsidP="00782D30">
      <w:pPr>
        <w:spacing w:line="240" w:lineRule="auto"/>
        <w:jc w:val="center"/>
        <w:rPr>
          <w:smallCaps/>
          <w:color w:val="C0504D" w:themeColor="accent2"/>
          <w:sz w:val="28"/>
          <w:u w:val="single"/>
        </w:rPr>
      </w:pPr>
      <w:r w:rsidRPr="00AC05B7">
        <w:rPr>
          <w:rStyle w:val="SubtleReference"/>
          <w:color w:val="auto"/>
          <w:sz w:val="28"/>
        </w:rPr>
        <w:t xml:space="preserve">Ranking and Selection Process for Continuum of Care Project Applications </w:t>
      </w:r>
    </w:p>
    <w:p w:rsidR="00782D30" w:rsidRPr="001A1DD6" w:rsidRDefault="00782D30" w:rsidP="00926255">
      <w:pPr>
        <w:spacing w:line="240" w:lineRule="auto"/>
        <w:rPr>
          <w:rFonts w:ascii="Calibri" w:hAnsi="Calibri"/>
          <w:sz w:val="24"/>
        </w:rPr>
      </w:pPr>
      <w:r>
        <w:rPr>
          <w:rFonts w:ascii="Calibri" w:hAnsi="Calibri"/>
          <w:sz w:val="24"/>
        </w:rPr>
        <w:t>Tuscaloosa’s Continuum of Care, the West Alabama Coalition for the Homeless (WACH) will use the fo</w:t>
      </w:r>
      <w:r w:rsidRPr="001A1DD6">
        <w:rPr>
          <w:rFonts w:ascii="Calibri" w:hAnsi="Calibri"/>
          <w:sz w:val="24"/>
        </w:rPr>
        <w:t xml:space="preserve">llowing process to rank project applications for the Continuum of Care Competition. </w:t>
      </w:r>
    </w:p>
    <w:p w:rsidR="00782D30" w:rsidRPr="001A1DD6" w:rsidRDefault="00782D30" w:rsidP="00926255">
      <w:pPr>
        <w:spacing w:line="240" w:lineRule="auto"/>
        <w:jc w:val="center"/>
        <w:rPr>
          <w:rFonts w:ascii="Calibri" w:hAnsi="Calibri"/>
          <w:b/>
          <w:sz w:val="24"/>
        </w:rPr>
      </w:pPr>
      <w:r w:rsidRPr="001A1DD6">
        <w:rPr>
          <w:rFonts w:ascii="Calibri" w:hAnsi="Calibri"/>
          <w:b/>
          <w:sz w:val="24"/>
        </w:rPr>
        <w:t xml:space="preserve">Selection Process </w:t>
      </w:r>
    </w:p>
    <w:p w:rsidR="00782D30" w:rsidRPr="001A1DD6" w:rsidRDefault="00782D30" w:rsidP="00926255">
      <w:pPr>
        <w:spacing w:line="240" w:lineRule="auto"/>
        <w:rPr>
          <w:rFonts w:ascii="Calibri" w:hAnsi="Calibri"/>
          <w:b/>
          <w:sz w:val="24"/>
        </w:rPr>
      </w:pPr>
      <w:r w:rsidRPr="001A1DD6">
        <w:rPr>
          <w:rFonts w:ascii="Calibri" w:hAnsi="Calibri"/>
          <w:b/>
          <w:sz w:val="24"/>
        </w:rPr>
        <w:t>A. HMIS Renewals</w:t>
      </w:r>
    </w:p>
    <w:p w:rsidR="00782D30" w:rsidRPr="001A1DD6" w:rsidRDefault="00782D30" w:rsidP="00926255">
      <w:pPr>
        <w:pStyle w:val="ListParagraph"/>
        <w:numPr>
          <w:ilvl w:val="0"/>
          <w:numId w:val="1"/>
        </w:numPr>
        <w:spacing w:line="240" w:lineRule="auto"/>
        <w:rPr>
          <w:rFonts w:ascii="Calibri" w:hAnsi="Calibri"/>
          <w:sz w:val="24"/>
        </w:rPr>
      </w:pPr>
      <w:r w:rsidRPr="001A1DD6">
        <w:rPr>
          <w:rFonts w:ascii="Calibri" w:hAnsi="Calibri"/>
          <w:sz w:val="24"/>
        </w:rPr>
        <w:t xml:space="preserve">HMIS Renewals will be assessed for performance and spending in </w:t>
      </w:r>
      <w:r w:rsidR="00D0005F" w:rsidRPr="001A1DD6">
        <w:rPr>
          <w:rFonts w:ascii="Calibri" w:hAnsi="Calibri"/>
          <w:sz w:val="24"/>
        </w:rPr>
        <w:t>alignment with HUD requirements and the CoC’s monitoring committee.</w:t>
      </w:r>
      <w:r w:rsidRPr="001A1DD6">
        <w:rPr>
          <w:rFonts w:ascii="Calibri" w:hAnsi="Calibri"/>
          <w:sz w:val="24"/>
        </w:rPr>
        <w:t xml:space="preserve"> </w:t>
      </w:r>
    </w:p>
    <w:p w:rsidR="00782D30" w:rsidRPr="001A1DD6" w:rsidRDefault="00782D30" w:rsidP="00926255">
      <w:pPr>
        <w:pStyle w:val="ListParagraph"/>
        <w:numPr>
          <w:ilvl w:val="0"/>
          <w:numId w:val="1"/>
        </w:numPr>
        <w:spacing w:line="240" w:lineRule="auto"/>
        <w:rPr>
          <w:rFonts w:ascii="Calibri" w:hAnsi="Calibri"/>
          <w:sz w:val="24"/>
        </w:rPr>
      </w:pPr>
      <w:r w:rsidRPr="001A1DD6">
        <w:rPr>
          <w:rFonts w:ascii="Calibri" w:hAnsi="Calibri"/>
          <w:sz w:val="24"/>
        </w:rPr>
        <w:t xml:space="preserve">Confirmation of intent to participate will be through the Grant Inventory Worksheet (GIW) confirmation process. </w:t>
      </w:r>
    </w:p>
    <w:p w:rsidR="00782D30" w:rsidRPr="001A1DD6" w:rsidRDefault="003F7313" w:rsidP="00926255">
      <w:pPr>
        <w:spacing w:line="240" w:lineRule="auto"/>
        <w:jc w:val="both"/>
        <w:rPr>
          <w:rFonts w:ascii="Calibri" w:hAnsi="Calibri"/>
          <w:sz w:val="24"/>
        </w:rPr>
      </w:pPr>
      <w:r w:rsidRPr="001A1DD6">
        <w:rPr>
          <w:rFonts w:ascii="Calibri" w:hAnsi="Calibri"/>
          <w:sz w:val="24"/>
        </w:rPr>
        <w:t>The Homeless Emergency Assistance and Rapid Transition to Housing (HEARTH) Act, enacted into law on May 20, 2009, requires that all communities have an HMIS with the capacity to collect required data concerning individuals and families experiencing homelessness. The Act also codifies into law certain data collection requirements integral to HMIS. With enactment of the HEARTH Act, HMIS participation became a statutory requirement for recipients and sub</w:t>
      </w:r>
      <w:r w:rsidR="001A1DD6">
        <w:rPr>
          <w:rFonts w:ascii="Calibri" w:hAnsi="Calibri"/>
          <w:sz w:val="24"/>
        </w:rPr>
        <w:t>-</w:t>
      </w:r>
      <w:r w:rsidRPr="001A1DD6">
        <w:rPr>
          <w:rFonts w:ascii="Calibri" w:hAnsi="Calibri"/>
          <w:sz w:val="24"/>
        </w:rPr>
        <w:t xml:space="preserve">recipients of the CoC Program and Emergency Solutions Grant (ESG) funds. </w:t>
      </w:r>
    </w:p>
    <w:p w:rsidR="003F7313" w:rsidRPr="001A1DD6" w:rsidRDefault="003F7313" w:rsidP="00926255">
      <w:pPr>
        <w:spacing w:line="240" w:lineRule="auto"/>
        <w:jc w:val="both"/>
        <w:rPr>
          <w:rFonts w:ascii="Calibri" w:hAnsi="Calibri"/>
          <w:sz w:val="24"/>
        </w:rPr>
      </w:pPr>
      <w:r w:rsidRPr="001A1DD6">
        <w:rPr>
          <w:rFonts w:ascii="Calibri" w:hAnsi="Calibri"/>
          <w:sz w:val="24"/>
        </w:rPr>
        <w:t xml:space="preserve">HUD expects the CoCs to use HMIS data to track their progress in meeting CoC and project-specific performance goals, support community-wide planning, and to identify how best to direct resources to prevent and end homelessness. CoCs need high-quality HMIS data to complete the homelessness components of the Consolidated Plan and to meet HUD reporting requirements, such as the required Annual Performance Report (APR), and Annual Homeless Assessment Report (AHAR). Finally, HMIS data are essential to documenting a CoC’s qualifications as a high-performing community. </w:t>
      </w:r>
    </w:p>
    <w:p w:rsidR="003F7313" w:rsidRPr="001A1DD6" w:rsidRDefault="003F7313" w:rsidP="00926255">
      <w:pPr>
        <w:spacing w:line="240" w:lineRule="auto"/>
        <w:jc w:val="both"/>
        <w:rPr>
          <w:rFonts w:ascii="Calibri" w:hAnsi="Calibri"/>
          <w:sz w:val="24"/>
        </w:rPr>
      </w:pPr>
      <w:r w:rsidRPr="001A1DD6">
        <w:rPr>
          <w:rFonts w:ascii="Calibri" w:hAnsi="Calibri"/>
          <w:sz w:val="24"/>
        </w:rPr>
        <w:t xml:space="preserve">As HMIS is a HUD mandated requirement in order to receive Continuum of Care funding, it is strongly recommended as one of the top priorities in Tier 1 in order to secure the funding for this authorized activity. </w:t>
      </w:r>
    </w:p>
    <w:p w:rsidR="00FC268C" w:rsidRPr="001A1DD6" w:rsidRDefault="00FC268C" w:rsidP="00926255">
      <w:pPr>
        <w:spacing w:line="240" w:lineRule="auto"/>
        <w:jc w:val="both"/>
        <w:rPr>
          <w:rFonts w:ascii="Calibri" w:hAnsi="Calibri"/>
          <w:b/>
          <w:sz w:val="24"/>
        </w:rPr>
      </w:pPr>
      <w:r w:rsidRPr="001A1DD6">
        <w:rPr>
          <w:rFonts w:ascii="Calibri" w:hAnsi="Calibri"/>
          <w:b/>
          <w:sz w:val="24"/>
        </w:rPr>
        <w:t xml:space="preserve">B. Permanent Housing </w:t>
      </w:r>
    </w:p>
    <w:p w:rsidR="00FC268C" w:rsidRPr="001A1DD6" w:rsidRDefault="00FC268C" w:rsidP="00926255">
      <w:pPr>
        <w:pStyle w:val="ListParagraph"/>
        <w:numPr>
          <w:ilvl w:val="0"/>
          <w:numId w:val="2"/>
        </w:numPr>
        <w:spacing w:line="240" w:lineRule="auto"/>
        <w:jc w:val="both"/>
        <w:rPr>
          <w:rFonts w:ascii="Calibri" w:hAnsi="Calibri"/>
          <w:b/>
          <w:sz w:val="24"/>
        </w:rPr>
      </w:pPr>
      <w:r w:rsidRPr="001A1DD6">
        <w:rPr>
          <w:rFonts w:ascii="Calibri" w:hAnsi="Calibri"/>
          <w:sz w:val="24"/>
        </w:rPr>
        <w:t>Will be assessed for performance and spending in alignment with HUD requirements.</w:t>
      </w:r>
    </w:p>
    <w:p w:rsidR="002912B4" w:rsidRPr="001A1DD6" w:rsidRDefault="00FC268C" w:rsidP="00D644A5">
      <w:pPr>
        <w:pStyle w:val="ListParagraph"/>
        <w:numPr>
          <w:ilvl w:val="0"/>
          <w:numId w:val="2"/>
        </w:numPr>
        <w:spacing w:line="240" w:lineRule="auto"/>
        <w:jc w:val="both"/>
        <w:rPr>
          <w:rFonts w:ascii="Calibri" w:hAnsi="Calibri"/>
          <w:b/>
          <w:sz w:val="24"/>
        </w:rPr>
      </w:pPr>
      <w:r w:rsidRPr="001A1DD6">
        <w:rPr>
          <w:rFonts w:ascii="Calibri" w:hAnsi="Calibri"/>
          <w:sz w:val="24"/>
        </w:rPr>
        <w:t xml:space="preserve">Confirmation of agency intent to participate will be through the Grant Inventory Worksheet (GIW) confirmation process. </w:t>
      </w:r>
    </w:p>
    <w:p w:rsidR="00FC268C" w:rsidRPr="001A1DD6" w:rsidRDefault="00FC268C" w:rsidP="00602C5F">
      <w:pPr>
        <w:spacing w:line="240" w:lineRule="auto"/>
        <w:jc w:val="both"/>
        <w:rPr>
          <w:rFonts w:ascii="Calibri" w:hAnsi="Calibri"/>
          <w:sz w:val="24"/>
        </w:rPr>
      </w:pPr>
      <w:r w:rsidRPr="001A1DD6">
        <w:rPr>
          <w:rFonts w:ascii="Calibri" w:hAnsi="Calibri"/>
          <w:sz w:val="24"/>
        </w:rPr>
        <w:t>Because HUD continues to prioritize permanen</w:t>
      </w:r>
      <w:r w:rsidR="005D2463" w:rsidRPr="001A1DD6">
        <w:rPr>
          <w:rFonts w:ascii="Calibri" w:hAnsi="Calibri"/>
          <w:sz w:val="24"/>
        </w:rPr>
        <w:t>t supportive housing, the CoC Board</w:t>
      </w:r>
      <w:r w:rsidRPr="001A1DD6">
        <w:rPr>
          <w:rFonts w:ascii="Calibri" w:hAnsi="Calibri"/>
          <w:sz w:val="24"/>
        </w:rPr>
        <w:t xml:space="preserve"> is recommending the Permanent Housing renewals to be placed in Tier 1. Permanent Housing renewal projects must meet HUD’s renewal threshold eligibility and performance measures. </w:t>
      </w:r>
    </w:p>
    <w:p w:rsidR="00FC268C" w:rsidRPr="001A1DD6" w:rsidRDefault="00FC268C" w:rsidP="00602C5F">
      <w:pPr>
        <w:spacing w:line="240" w:lineRule="auto"/>
        <w:jc w:val="both"/>
        <w:rPr>
          <w:rFonts w:ascii="Calibri" w:hAnsi="Calibri"/>
          <w:b/>
          <w:sz w:val="24"/>
        </w:rPr>
      </w:pPr>
      <w:r w:rsidRPr="001A1DD6">
        <w:rPr>
          <w:rFonts w:ascii="Calibri" w:hAnsi="Calibri"/>
          <w:b/>
          <w:sz w:val="24"/>
        </w:rPr>
        <w:t xml:space="preserve">C. Transitional Housing </w:t>
      </w:r>
    </w:p>
    <w:p w:rsidR="00FC268C" w:rsidRPr="001A1DD6" w:rsidRDefault="00FC268C" w:rsidP="00926255">
      <w:pPr>
        <w:pStyle w:val="ListParagraph"/>
        <w:numPr>
          <w:ilvl w:val="0"/>
          <w:numId w:val="3"/>
        </w:numPr>
        <w:spacing w:line="240" w:lineRule="auto"/>
        <w:jc w:val="both"/>
        <w:rPr>
          <w:rFonts w:ascii="Calibri" w:hAnsi="Calibri"/>
          <w:sz w:val="24"/>
        </w:rPr>
      </w:pPr>
      <w:r w:rsidRPr="001A1DD6">
        <w:rPr>
          <w:rFonts w:ascii="Calibri" w:hAnsi="Calibri"/>
          <w:sz w:val="24"/>
        </w:rPr>
        <w:t>Transitional Housing renewal projects will continue with the Letter of Intent (LOI) process.</w:t>
      </w:r>
    </w:p>
    <w:p w:rsidR="00FC268C" w:rsidRPr="001A1DD6" w:rsidRDefault="00FC268C" w:rsidP="00926255">
      <w:pPr>
        <w:pStyle w:val="ListParagraph"/>
        <w:numPr>
          <w:ilvl w:val="0"/>
          <w:numId w:val="3"/>
        </w:numPr>
        <w:spacing w:line="240" w:lineRule="auto"/>
        <w:jc w:val="both"/>
        <w:rPr>
          <w:rFonts w:ascii="Calibri" w:hAnsi="Calibri"/>
          <w:sz w:val="24"/>
        </w:rPr>
      </w:pPr>
      <w:r w:rsidRPr="001A1DD6">
        <w:rPr>
          <w:rFonts w:ascii="Calibri" w:hAnsi="Calibri"/>
          <w:sz w:val="24"/>
        </w:rPr>
        <w:t xml:space="preserve">Only those verified on HUD’s Grant Inventory Worksheet will be eligible. </w:t>
      </w:r>
    </w:p>
    <w:p w:rsidR="00FC268C" w:rsidRPr="001A1DD6" w:rsidRDefault="00FC268C" w:rsidP="00926255">
      <w:pPr>
        <w:pStyle w:val="ListParagraph"/>
        <w:numPr>
          <w:ilvl w:val="0"/>
          <w:numId w:val="3"/>
        </w:numPr>
        <w:spacing w:line="240" w:lineRule="auto"/>
        <w:jc w:val="both"/>
        <w:rPr>
          <w:rFonts w:ascii="Calibri" w:hAnsi="Calibri"/>
          <w:sz w:val="24"/>
        </w:rPr>
      </w:pPr>
      <w:r w:rsidRPr="001A1DD6">
        <w:rPr>
          <w:rFonts w:ascii="Calibri" w:hAnsi="Calibri"/>
          <w:sz w:val="24"/>
        </w:rPr>
        <w:lastRenderedPageBreak/>
        <w:t xml:space="preserve">In alignment with HUD’s priorities and performance measures, the LOI is mainly performance based, but conditional on established HUD performance measures. </w:t>
      </w:r>
    </w:p>
    <w:p w:rsidR="00FC268C" w:rsidRPr="001A1DD6" w:rsidRDefault="00FC268C" w:rsidP="00926255">
      <w:pPr>
        <w:pStyle w:val="ListParagraph"/>
        <w:numPr>
          <w:ilvl w:val="0"/>
          <w:numId w:val="3"/>
        </w:numPr>
        <w:spacing w:line="240" w:lineRule="auto"/>
        <w:jc w:val="both"/>
        <w:rPr>
          <w:rFonts w:ascii="Calibri" w:hAnsi="Calibri"/>
          <w:sz w:val="24"/>
        </w:rPr>
      </w:pPr>
      <w:r w:rsidRPr="001A1DD6">
        <w:rPr>
          <w:rFonts w:ascii="Calibri" w:hAnsi="Calibri"/>
          <w:sz w:val="24"/>
        </w:rPr>
        <w:t xml:space="preserve">Applications must meet baseline HUD thresholds and will be reviewed and conditionally accepted on the following criteria: </w:t>
      </w:r>
    </w:p>
    <w:p w:rsidR="00FC268C" w:rsidRPr="001A1DD6" w:rsidRDefault="00FC268C" w:rsidP="00926255">
      <w:pPr>
        <w:pStyle w:val="ListParagraph"/>
        <w:numPr>
          <w:ilvl w:val="1"/>
          <w:numId w:val="3"/>
        </w:numPr>
        <w:spacing w:line="240" w:lineRule="auto"/>
        <w:jc w:val="both"/>
        <w:rPr>
          <w:rFonts w:ascii="Calibri" w:hAnsi="Calibri"/>
          <w:sz w:val="24"/>
        </w:rPr>
      </w:pPr>
      <w:r w:rsidRPr="001A1DD6">
        <w:rPr>
          <w:rFonts w:ascii="Calibri" w:hAnsi="Calibri"/>
          <w:sz w:val="24"/>
        </w:rPr>
        <w:t xml:space="preserve">Complete and timely submission of required application and associated documents. </w:t>
      </w:r>
    </w:p>
    <w:p w:rsidR="00FC268C" w:rsidRPr="001A1DD6" w:rsidRDefault="00FC268C" w:rsidP="00926255">
      <w:pPr>
        <w:pStyle w:val="ListParagraph"/>
        <w:numPr>
          <w:ilvl w:val="1"/>
          <w:numId w:val="3"/>
        </w:numPr>
        <w:spacing w:line="240" w:lineRule="auto"/>
        <w:jc w:val="both"/>
        <w:rPr>
          <w:rFonts w:ascii="Calibri" w:hAnsi="Calibri"/>
          <w:sz w:val="24"/>
        </w:rPr>
      </w:pPr>
      <w:r w:rsidRPr="001A1DD6">
        <w:rPr>
          <w:rFonts w:ascii="Calibri" w:hAnsi="Calibri"/>
          <w:sz w:val="24"/>
        </w:rPr>
        <w:t xml:space="preserve">Successful and timely completion of e-snaps application. </w:t>
      </w:r>
    </w:p>
    <w:p w:rsidR="00FC268C" w:rsidRPr="001A1DD6" w:rsidRDefault="00FC268C" w:rsidP="00926255">
      <w:pPr>
        <w:pStyle w:val="ListParagraph"/>
        <w:numPr>
          <w:ilvl w:val="1"/>
          <w:numId w:val="3"/>
        </w:numPr>
        <w:spacing w:line="240" w:lineRule="auto"/>
        <w:jc w:val="both"/>
        <w:rPr>
          <w:rFonts w:ascii="Calibri" w:hAnsi="Calibri"/>
          <w:sz w:val="24"/>
        </w:rPr>
      </w:pPr>
      <w:r w:rsidRPr="001A1DD6">
        <w:rPr>
          <w:rFonts w:ascii="Calibri" w:hAnsi="Calibri"/>
          <w:sz w:val="24"/>
        </w:rPr>
        <w:t>Success in meeting performance standards as determined locally</w:t>
      </w:r>
      <w:r w:rsidR="00D0005F" w:rsidRPr="001A1DD6">
        <w:rPr>
          <w:rFonts w:ascii="Calibri" w:hAnsi="Calibri"/>
          <w:sz w:val="24"/>
        </w:rPr>
        <w:t xml:space="preserve"> by the CoC’s monitoring committee</w:t>
      </w:r>
      <w:r w:rsidRPr="001A1DD6">
        <w:rPr>
          <w:rFonts w:ascii="Calibri" w:hAnsi="Calibri"/>
          <w:sz w:val="24"/>
        </w:rPr>
        <w:t xml:space="preserve"> and by HUD. </w:t>
      </w:r>
    </w:p>
    <w:p w:rsidR="00926255" w:rsidRPr="001A1DD6" w:rsidRDefault="00FC268C" w:rsidP="00926255">
      <w:pPr>
        <w:spacing w:after="0" w:line="240" w:lineRule="auto"/>
        <w:jc w:val="both"/>
        <w:rPr>
          <w:rFonts w:ascii="Calibri" w:hAnsi="Calibri"/>
          <w:b/>
          <w:sz w:val="24"/>
          <w:u w:val="single"/>
        </w:rPr>
      </w:pPr>
      <w:r w:rsidRPr="001A1DD6">
        <w:rPr>
          <w:rFonts w:ascii="Calibri" w:hAnsi="Calibri"/>
          <w:b/>
          <w:sz w:val="24"/>
          <w:u w:val="single"/>
        </w:rPr>
        <w:t>New Projects</w:t>
      </w:r>
    </w:p>
    <w:p w:rsidR="004948AA" w:rsidRPr="001A1DD6" w:rsidRDefault="004948AA" w:rsidP="00926255">
      <w:pPr>
        <w:spacing w:line="240" w:lineRule="auto"/>
        <w:jc w:val="both"/>
        <w:rPr>
          <w:rFonts w:ascii="Calibri" w:hAnsi="Calibri"/>
          <w:b/>
          <w:sz w:val="24"/>
          <w:u w:val="single"/>
        </w:rPr>
      </w:pPr>
      <w:r w:rsidRPr="001A1DD6">
        <w:rPr>
          <w:rFonts w:ascii="Calibri" w:hAnsi="Calibri"/>
          <w:sz w:val="24"/>
        </w:rPr>
        <w:t xml:space="preserve">Due to funding limitations, HUD will not consider requests for new funding outside the reallocation process, CoC planning, and United Funding Agency costs. </w:t>
      </w:r>
    </w:p>
    <w:p w:rsidR="004948AA" w:rsidRPr="001A1DD6" w:rsidRDefault="00D0005F" w:rsidP="00926255">
      <w:pPr>
        <w:spacing w:line="240" w:lineRule="auto"/>
        <w:jc w:val="both"/>
        <w:rPr>
          <w:rFonts w:ascii="Calibri" w:hAnsi="Calibri"/>
          <w:sz w:val="24"/>
        </w:rPr>
      </w:pPr>
      <w:r w:rsidRPr="001A1DD6">
        <w:rPr>
          <w:rFonts w:ascii="Calibri" w:hAnsi="Calibri"/>
          <w:sz w:val="24"/>
        </w:rPr>
        <w:t>HU</w:t>
      </w:r>
      <w:r w:rsidR="005D2463" w:rsidRPr="001A1DD6">
        <w:rPr>
          <w:rFonts w:ascii="Calibri" w:hAnsi="Calibri"/>
          <w:sz w:val="24"/>
        </w:rPr>
        <w:t>D</w:t>
      </w:r>
      <w:r w:rsidR="004948AA" w:rsidRPr="001A1DD6">
        <w:rPr>
          <w:rFonts w:ascii="Calibri" w:hAnsi="Calibri"/>
          <w:sz w:val="24"/>
        </w:rPr>
        <w:t xml:space="preserve"> will assess all new projects for the following minimum project eligibility, capacity, timeliness and performance standards:</w:t>
      </w:r>
    </w:p>
    <w:p w:rsidR="00FC268C" w:rsidRPr="001A1DD6" w:rsidRDefault="004948AA" w:rsidP="00602C5F">
      <w:pPr>
        <w:pStyle w:val="ListParagraph"/>
        <w:numPr>
          <w:ilvl w:val="0"/>
          <w:numId w:val="4"/>
        </w:numPr>
        <w:spacing w:line="240" w:lineRule="auto"/>
        <w:ind w:left="360"/>
        <w:jc w:val="both"/>
        <w:rPr>
          <w:rFonts w:ascii="Calibri" w:hAnsi="Calibri"/>
          <w:b/>
          <w:sz w:val="24"/>
          <w:u w:val="single"/>
        </w:rPr>
      </w:pPr>
      <w:r w:rsidRPr="001A1DD6">
        <w:rPr>
          <w:rFonts w:ascii="Calibri" w:hAnsi="Calibri"/>
          <w:sz w:val="24"/>
        </w:rPr>
        <w:t>Project applicants and potential sub-recipients must have satisfactory capacity, drawdowns, and performance for existing grants as evidenced by timely reimbursements of sub-recipients, regular drawdowns, and timely resolution of any monitor findings;</w:t>
      </w:r>
    </w:p>
    <w:p w:rsidR="004948AA" w:rsidRPr="001A1DD6" w:rsidRDefault="004948AA" w:rsidP="00602C5F">
      <w:pPr>
        <w:pStyle w:val="ListParagraph"/>
        <w:numPr>
          <w:ilvl w:val="0"/>
          <w:numId w:val="4"/>
        </w:numPr>
        <w:spacing w:line="240" w:lineRule="auto"/>
        <w:ind w:left="360"/>
        <w:jc w:val="both"/>
        <w:rPr>
          <w:rFonts w:ascii="Calibri" w:hAnsi="Calibri"/>
          <w:b/>
          <w:sz w:val="24"/>
          <w:u w:val="single"/>
        </w:rPr>
      </w:pPr>
      <w:r w:rsidRPr="001A1DD6">
        <w:rPr>
          <w:rFonts w:ascii="Calibri" w:hAnsi="Calibri"/>
          <w:sz w:val="24"/>
        </w:rPr>
        <w:t>For expansion projects, project applicants must clearly articulate the part of the project being expanded. Additionally, the project applicants must clearly demonstrate that they are not replacing other funding sources;</w:t>
      </w:r>
    </w:p>
    <w:p w:rsidR="004948AA" w:rsidRPr="001A1DD6" w:rsidRDefault="004948AA" w:rsidP="00602C5F">
      <w:pPr>
        <w:pStyle w:val="ListParagraph"/>
        <w:numPr>
          <w:ilvl w:val="0"/>
          <w:numId w:val="4"/>
        </w:numPr>
        <w:spacing w:line="240" w:lineRule="auto"/>
        <w:ind w:left="360"/>
        <w:jc w:val="both"/>
        <w:rPr>
          <w:rFonts w:ascii="Calibri" w:hAnsi="Calibri"/>
          <w:b/>
          <w:sz w:val="24"/>
          <w:u w:val="single"/>
        </w:rPr>
      </w:pPr>
      <w:r w:rsidRPr="001A1DD6">
        <w:rPr>
          <w:rFonts w:ascii="Calibri" w:hAnsi="Calibri"/>
          <w:sz w:val="24"/>
        </w:rPr>
        <w:t xml:space="preserve">Project applicants demonstrate that they will be able to meet all timeliness standards. Project applicants with existing projects must demonstrate that they have met all project renewal threshold requirements of the NOFA. HUD reserves the right to deny the funding request for a new project, if the request is made by an existing recipient that is found to have significant issues related to capacity, performance, or unresolved audit/monitoring finding related to one or more existing grants. Additionally, HUD reserves the right to withdraw funds if no APR is submitted on the prior grant. </w:t>
      </w:r>
    </w:p>
    <w:p w:rsidR="00D0005F" w:rsidRPr="001A1DD6" w:rsidRDefault="00D0005F" w:rsidP="00602C5F">
      <w:pPr>
        <w:pStyle w:val="ListParagraph"/>
        <w:numPr>
          <w:ilvl w:val="0"/>
          <w:numId w:val="4"/>
        </w:numPr>
        <w:spacing w:line="240" w:lineRule="auto"/>
        <w:ind w:left="360"/>
        <w:jc w:val="both"/>
        <w:rPr>
          <w:rFonts w:ascii="Calibri" w:hAnsi="Calibri"/>
          <w:b/>
          <w:sz w:val="24"/>
          <w:u w:val="single"/>
        </w:rPr>
      </w:pPr>
      <w:r w:rsidRPr="001A1DD6">
        <w:rPr>
          <w:rFonts w:ascii="Calibri" w:hAnsi="Calibri"/>
          <w:sz w:val="24"/>
        </w:rPr>
        <w:t>New project applicants must demonstrate their ability to provide required matching/leveraging funds as required by the NOFA.</w:t>
      </w:r>
    </w:p>
    <w:p w:rsidR="00D0005F" w:rsidRPr="001A1DD6" w:rsidRDefault="00D0005F" w:rsidP="00602C5F">
      <w:pPr>
        <w:pStyle w:val="ListParagraph"/>
        <w:numPr>
          <w:ilvl w:val="0"/>
          <w:numId w:val="4"/>
        </w:numPr>
        <w:spacing w:line="240" w:lineRule="auto"/>
        <w:ind w:left="360"/>
        <w:jc w:val="both"/>
        <w:rPr>
          <w:rFonts w:ascii="Calibri" w:hAnsi="Calibri"/>
          <w:b/>
          <w:sz w:val="24"/>
          <w:u w:val="single"/>
        </w:rPr>
      </w:pPr>
      <w:r w:rsidRPr="001A1DD6">
        <w:rPr>
          <w:rFonts w:ascii="Calibri" w:hAnsi="Calibri"/>
          <w:sz w:val="24"/>
        </w:rPr>
        <w:t>New applicants must be a participating member of the CoC for one year prior to making application for funding.</w:t>
      </w:r>
    </w:p>
    <w:p w:rsidR="002912B4" w:rsidRPr="001A1DD6" w:rsidRDefault="002912B4" w:rsidP="00602C5F">
      <w:pPr>
        <w:pStyle w:val="ListParagraph"/>
        <w:spacing w:line="240" w:lineRule="auto"/>
        <w:ind w:left="360"/>
        <w:jc w:val="both"/>
        <w:rPr>
          <w:rFonts w:ascii="Calibri" w:hAnsi="Calibri"/>
          <w:sz w:val="24"/>
        </w:rPr>
      </w:pPr>
    </w:p>
    <w:p w:rsidR="004948AA" w:rsidRPr="001A1DD6" w:rsidRDefault="004948AA" w:rsidP="00602C5F">
      <w:pPr>
        <w:pStyle w:val="ListParagraph"/>
        <w:spacing w:line="240" w:lineRule="auto"/>
        <w:ind w:left="0"/>
        <w:jc w:val="both"/>
        <w:rPr>
          <w:rFonts w:ascii="Calibri" w:hAnsi="Calibri"/>
          <w:b/>
          <w:sz w:val="24"/>
          <w:u w:val="single"/>
        </w:rPr>
      </w:pPr>
      <w:r w:rsidRPr="001A1DD6">
        <w:rPr>
          <w:rFonts w:ascii="Calibri" w:hAnsi="Calibri"/>
          <w:b/>
          <w:sz w:val="24"/>
          <w:u w:val="single"/>
        </w:rPr>
        <w:t xml:space="preserve">Reallocation </w:t>
      </w:r>
    </w:p>
    <w:p w:rsidR="004948AA" w:rsidRPr="001A1DD6" w:rsidRDefault="004948AA" w:rsidP="00602C5F">
      <w:pPr>
        <w:pStyle w:val="ListParagraph"/>
        <w:spacing w:line="240" w:lineRule="auto"/>
        <w:ind w:left="0"/>
        <w:jc w:val="both"/>
        <w:rPr>
          <w:rFonts w:ascii="Calibri" w:hAnsi="Calibri"/>
          <w:b/>
          <w:sz w:val="24"/>
          <w:u w:val="single"/>
        </w:rPr>
      </w:pPr>
      <w:r w:rsidRPr="001A1DD6">
        <w:rPr>
          <w:rFonts w:ascii="Calibri" w:hAnsi="Calibri"/>
          <w:sz w:val="24"/>
        </w:rPr>
        <w:t xml:space="preserve">The CoC will allow agencies to reallocate funds to new projects if they are ready and if the reallocation is eligible (see attached Reallocation Guidelines). New Projects created through reallocation will be reviewed in e-snaps for HUD eligibility and threshold criteria. </w:t>
      </w:r>
    </w:p>
    <w:p w:rsidR="004948AA" w:rsidRPr="001A1DD6" w:rsidRDefault="004948AA" w:rsidP="00602C5F">
      <w:pPr>
        <w:pStyle w:val="ListParagraph"/>
        <w:spacing w:line="240" w:lineRule="auto"/>
        <w:ind w:left="1139"/>
        <w:jc w:val="both"/>
        <w:rPr>
          <w:rFonts w:ascii="Calibri" w:hAnsi="Calibri"/>
          <w:sz w:val="24"/>
        </w:rPr>
      </w:pPr>
      <w:r w:rsidRPr="001A1DD6">
        <w:rPr>
          <w:rFonts w:ascii="Calibri" w:hAnsi="Calibri"/>
          <w:sz w:val="24"/>
        </w:rPr>
        <w:t xml:space="preserve"> </w:t>
      </w:r>
    </w:p>
    <w:p w:rsidR="004948AA" w:rsidRPr="001A1DD6" w:rsidRDefault="004948AA" w:rsidP="00602C5F">
      <w:pPr>
        <w:pStyle w:val="ListParagraph"/>
        <w:spacing w:line="240" w:lineRule="auto"/>
        <w:ind w:left="0"/>
        <w:jc w:val="both"/>
        <w:rPr>
          <w:rFonts w:ascii="Calibri" w:hAnsi="Calibri"/>
          <w:sz w:val="24"/>
        </w:rPr>
      </w:pPr>
      <w:r w:rsidRPr="001A1DD6">
        <w:rPr>
          <w:rFonts w:ascii="Calibri" w:hAnsi="Calibri"/>
          <w:sz w:val="24"/>
        </w:rPr>
        <w:t xml:space="preserve">HUD will review new projects created through reallocation to determine if they meet the following project quality threshold requirements with clear and convincing evidence. The housing and services proposed must be appropriate to the needs of the program participants and the community. </w:t>
      </w:r>
      <w:r w:rsidRPr="001A1DD6">
        <w:rPr>
          <w:rFonts w:ascii="Calibri" w:hAnsi="Calibri"/>
          <w:sz w:val="24"/>
        </w:rPr>
        <w:cr/>
      </w:r>
    </w:p>
    <w:p w:rsidR="007931A6" w:rsidRPr="001A1DD6" w:rsidRDefault="00240CB1" w:rsidP="00602C5F">
      <w:pPr>
        <w:pStyle w:val="ListParagraph"/>
        <w:spacing w:line="240" w:lineRule="auto"/>
        <w:ind w:left="0"/>
        <w:jc w:val="both"/>
        <w:rPr>
          <w:rFonts w:ascii="Calibri" w:hAnsi="Calibri"/>
          <w:b/>
          <w:sz w:val="24"/>
          <w:u w:val="single"/>
        </w:rPr>
      </w:pPr>
      <w:r w:rsidRPr="001A1DD6">
        <w:rPr>
          <w:rFonts w:ascii="Calibri" w:hAnsi="Calibri"/>
          <w:b/>
          <w:sz w:val="24"/>
          <w:u w:val="single"/>
        </w:rPr>
        <w:t xml:space="preserve">New Criteria </w:t>
      </w:r>
    </w:p>
    <w:p w:rsidR="007931A6" w:rsidRPr="001A1DD6" w:rsidRDefault="007931A6" w:rsidP="00602C5F">
      <w:pPr>
        <w:pStyle w:val="ListParagraph"/>
        <w:spacing w:after="0" w:line="240" w:lineRule="auto"/>
        <w:ind w:left="0"/>
        <w:jc w:val="both"/>
        <w:rPr>
          <w:rFonts w:ascii="Calibri" w:hAnsi="Calibri"/>
          <w:sz w:val="24"/>
        </w:rPr>
      </w:pPr>
      <w:r w:rsidRPr="001A1DD6">
        <w:rPr>
          <w:rFonts w:ascii="Calibri" w:hAnsi="Calibri"/>
          <w:sz w:val="24"/>
        </w:rPr>
        <w:t xml:space="preserve">Per HUD guidelines, to be considered as meeting project quality threshold, new projects created through reallocation must receive at least 5 points from HUD based on criteria below. New project applications created through reallocation that do not receive at least 5 points will be rejected by HUD. As part of the local review, applicants choosing to reallocate must describe and certify to the CoC that they will meet these criteria. </w:t>
      </w:r>
      <w:r w:rsidRPr="001A1DD6">
        <w:rPr>
          <w:rFonts w:ascii="Calibri" w:hAnsi="Calibri"/>
          <w:sz w:val="24"/>
        </w:rPr>
        <w:cr/>
      </w:r>
    </w:p>
    <w:p w:rsidR="007931A6" w:rsidRPr="001A1DD6" w:rsidRDefault="007931A6" w:rsidP="00602C5F">
      <w:pPr>
        <w:pStyle w:val="ListParagraph"/>
        <w:numPr>
          <w:ilvl w:val="0"/>
          <w:numId w:val="4"/>
        </w:numPr>
        <w:spacing w:after="0" w:line="240" w:lineRule="auto"/>
        <w:ind w:left="360"/>
        <w:jc w:val="both"/>
        <w:rPr>
          <w:rFonts w:ascii="Calibri" w:hAnsi="Calibri"/>
          <w:sz w:val="24"/>
        </w:rPr>
      </w:pPr>
      <w:r w:rsidRPr="001A1DD6">
        <w:rPr>
          <w:rFonts w:ascii="Calibri" w:hAnsi="Calibri"/>
          <w:sz w:val="24"/>
        </w:rPr>
        <w:t>Whether the type, scale, and location fit the needs of the program participants (1 point);</w:t>
      </w:r>
    </w:p>
    <w:p w:rsidR="007931A6" w:rsidRPr="001A1DD6" w:rsidRDefault="007931A6" w:rsidP="00602C5F">
      <w:pPr>
        <w:pStyle w:val="ListParagraph"/>
        <w:numPr>
          <w:ilvl w:val="0"/>
          <w:numId w:val="4"/>
        </w:numPr>
        <w:spacing w:after="0" w:line="240" w:lineRule="auto"/>
        <w:ind w:left="360"/>
        <w:jc w:val="both"/>
        <w:rPr>
          <w:rFonts w:ascii="Calibri" w:hAnsi="Calibri"/>
          <w:sz w:val="24"/>
        </w:rPr>
      </w:pPr>
      <w:r w:rsidRPr="001A1DD6">
        <w:rPr>
          <w:rFonts w:ascii="Calibri" w:hAnsi="Calibri"/>
          <w:sz w:val="24"/>
        </w:rPr>
        <w:t>Whether the type, scale, and location of the supportive services, and the mode of transportation to those services fit the needs of the p</w:t>
      </w:r>
      <w:r w:rsidR="00602C5F" w:rsidRPr="001A1DD6">
        <w:rPr>
          <w:rFonts w:ascii="Calibri" w:hAnsi="Calibri"/>
          <w:sz w:val="24"/>
        </w:rPr>
        <w:t xml:space="preserve">rogram participants (1 point); </w:t>
      </w:r>
    </w:p>
    <w:p w:rsidR="007931A6" w:rsidRPr="001A1DD6" w:rsidRDefault="007931A6" w:rsidP="00602C5F">
      <w:pPr>
        <w:pStyle w:val="ListParagraph"/>
        <w:numPr>
          <w:ilvl w:val="0"/>
          <w:numId w:val="4"/>
        </w:numPr>
        <w:spacing w:after="0" w:line="240" w:lineRule="auto"/>
        <w:ind w:left="360"/>
        <w:jc w:val="both"/>
        <w:rPr>
          <w:rFonts w:ascii="Calibri" w:hAnsi="Calibri"/>
          <w:sz w:val="24"/>
        </w:rPr>
      </w:pPr>
      <w:r w:rsidRPr="001A1DD6">
        <w:rPr>
          <w:rFonts w:ascii="Calibri" w:hAnsi="Calibri"/>
          <w:sz w:val="24"/>
        </w:rPr>
        <w:t>Whether the specific plan for ensuring program participants will be individually assisted to obtain the benefits of the mainstream health, social, and employment programs for which they are eligible to apply meets the needs of the p</w:t>
      </w:r>
      <w:r w:rsidR="00602C5F" w:rsidRPr="001A1DD6">
        <w:rPr>
          <w:rFonts w:ascii="Calibri" w:hAnsi="Calibri"/>
          <w:sz w:val="24"/>
        </w:rPr>
        <w:t xml:space="preserve">rogram participants (1 point); </w:t>
      </w:r>
    </w:p>
    <w:p w:rsidR="007931A6" w:rsidRPr="001A1DD6" w:rsidRDefault="007931A6" w:rsidP="00602C5F">
      <w:pPr>
        <w:pStyle w:val="ListParagraph"/>
        <w:numPr>
          <w:ilvl w:val="0"/>
          <w:numId w:val="4"/>
        </w:numPr>
        <w:spacing w:after="0" w:line="240" w:lineRule="auto"/>
        <w:ind w:left="360"/>
        <w:jc w:val="both"/>
        <w:rPr>
          <w:rFonts w:ascii="Calibri" w:hAnsi="Calibri"/>
          <w:sz w:val="24"/>
        </w:rPr>
      </w:pPr>
      <w:r w:rsidRPr="001A1DD6">
        <w:rPr>
          <w:rFonts w:ascii="Calibri" w:hAnsi="Calibri"/>
          <w:sz w:val="24"/>
        </w:rPr>
        <w:t>Whether program participants are assisted to obtain and remain in permanent housing in a manner that fits their needs</w:t>
      </w:r>
      <w:r w:rsidR="00602C5F" w:rsidRPr="001A1DD6">
        <w:rPr>
          <w:rFonts w:ascii="Calibri" w:hAnsi="Calibri"/>
          <w:sz w:val="24"/>
        </w:rPr>
        <w:t xml:space="preserve"> (1 point); </w:t>
      </w:r>
    </w:p>
    <w:p w:rsidR="007931A6" w:rsidRPr="001A1DD6" w:rsidRDefault="007931A6" w:rsidP="00602C5F">
      <w:pPr>
        <w:pStyle w:val="ListParagraph"/>
        <w:numPr>
          <w:ilvl w:val="0"/>
          <w:numId w:val="4"/>
        </w:numPr>
        <w:spacing w:after="0" w:line="240" w:lineRule="auto"/>
        <w:ind w:left="360"/>
        <w:jc w:val="both"/>
        <w:rPr>
          <w:rFonts w:ascii="Calibri" w:hAnsi="Calibri"/>
          <w:sz w:val="24"/>
        </w:rPr>
      </w:pPr>
      <w:r w:rsidRPr="001A1DD6">
        <w:rPr>
          <w:rFonts w:ascii="Calibri" w:hAnsi="Calibri"/>
          <w:sz w:val="24"/>
        </w:rPr>
        <w:t xml:space="preserve">Whether program participants are assisted to both increase their incomes and live independently using mainstream housing and service programs in a manner that fits their needs (1 point); </w:t>
      </w:r>
    </w:p>
    <w:p w:rsidR="002912B4" w:rsidRPr="001A1DD6" w:rsidRDefault="007931A6" w:rsidP="00602C5F">
      <w:pPr>
        <w:pStyle w:val="ListParagraph"/>
        <w:numPr>
          <w:ilvl w:val="0"/>
          <w:numId w:val="4"/>
        </w:numPr>
        <w:spacing w:after="0" w:line="240" w:lineRule="auto"/>
        <w:ind w:left="360"/>
        <w:jc w:val="both"/>
        <w:rPr>
          <w:rFonts w:ascii="Calibri" w:hAnsi="Calibri"/>
          <w:sz w:val="24"/>
        </w:rPr>
      </w:pPr>
      <w:r w:rsidRPr="001A1DD6">
        <w:rPr>
          <w:rFonts w:ascii="Calibri" w:hAnsi="Calibri"/>
          <w:sz w:val="24"/>
        </w:rPr>
        <w:t>Whether 75% of the proposed program participants come from the street or other locations not meant for human habitation, emergency shelter,</w:t>
      </w:r>
      <w:r w:rsidR="00602C5F" w:rsidRPr="001A1DD6">
        <w:rPr>
          <w:rFonts w:ascii="Calibri" w:hAnsi="Calibri"/>
          <w:sz w:val="24"/>
        </w:rPr>
        <w:t xml:space="preserve"> or safe havens (1 point); and </w:t>
      </w:r>
    </w:p>
    <w:p w:rsidR="007931A6" w:rsidRPr="001A1DD6" w:rsidRDefault="007931A6" w:rsidP="00602C5F">
      <w:pPr>
        <w:pStyle w:val="ListParagraph"/>
        <w:numPr>
          <w:ilvl w:val="0"/>
          <w:numId w:val="4"/>
        </w:numPr>
        <w:spacing w:after="0" w:line="240" w:lineRule="auto"/>
        <w:ind w:left="360"/>
        <w:jc w:val="both"/>
        <w:rPr>
          <w:rFonts w:ascii="Calibri" w:hAnsi="Calibri"/>
          <w:sz w:val="24"/>
        </w:rPr>
      </w:pPr>
      <w:r w:rsidRPr="001A1DD6">
        <w:rPr>
          <w:rFonts w:ascii="Calibri" w:hAnsi="Calibri"/>
          <w:sz w:val="24"/>
        </w:rPr>
        <w:t xml:space="preserve">Whether amenities (e.g. grocery stores, pharmacies, etc.) are accessible in the </w:t>
      </w:r>
    </w:p>
    <w:p w:rsidR="00926255" w:rsidRPr="001A1DD6" w:rsidRDefault="007931A6" w:rsidP="00B116E3">
      <w:pPr>
        <w:pStyle w:val="ListParagraph"/>
        <w:spacing w:after="0" w:line="240" w:lineRule="auto"/>
        <w:ind w:left="0" w:firstLine="360"/>
        <w:jc w:val="both"/>
        <w:rPr>
          <w:rFonts w:ascii="Calibri" w:hAnsi="Calibri"/>
          <w:sz w:val="24"/>
        </w:rPr>
      </w:pPr>
      <w:r w:rsidRPr="001A1DD6">
        <w:rPr>
          <w:rFonts w:ascii="Calibri" w:hAnsi="Calibri"/>
          <w:sz w:val="24"/>
        </w:rPr>
        <w:t>community (1 point)</w:t>
      </w:r>
    </w:p>
    <w:p w:rsidR="00926255" w:rsidRPr="001A1DD6" w:rsidRDefault="00926255" w:rsidP="00602C5F">
      <w:pPr>
        <w:pStyle w:val="ListParagraph"/>
        <w:spacing w:after="0" w:line="240" w:lineRule="auto"/>
        <w:ind w:left="0"/>
        <w:jc w:val="both"/>
        <w:rPr>
          <w:rFonts w:ascii="Calibri" w:hAnsi="Calibri"/>
          <w:sz w:val="24"/>
        </w:rPr>
      </w:pPr>
    </w:p>
    <w:p w:rsidR="00926255" w:rsidRPr="001A1DD6" w:rsidRDefault="00926255" w:rsidP="00602C5F">
      <w:pPr>
        <w:pStyle w:val="ListParagraph"/>
        <w:spacing w:after="0" w:line="240" w:lineRule="auto"/>
        <w:ind w:left="0"/>
        <w:jc w:val="both"/>
        <w:rPr>
          <w:rFonts w:ascii="Calibri" w:hAnsi="Calibri"/>
          <w:b/>
          <w:sz w:val="24"/>
          <w:u w:val="single"/>
        </w:rPr>
      </w:pPr>
      <w:r w:rsidRPr="001A1DD6">
        <w:rPr>
          <w:rFonts w:ascii="Calibri" w:hAnsi="Calibri"/>
          <w:b/>
          <w:sz w:val="24"/>
          <w:u w:val="single"/>
        </w:rPr>
        <w:t xml:space="preserve">HUD Priorities </w:t>
      </w:r>
    </w:p>
    <w:p w:rsidR="00926255" w:rsidRPr="001A1DD6" w:rsidRDefault="00926255" w:rsidP="00602C5F">
      <w:pPr>
        <w:pStyle w:val="ListParagraph"/>
        <w:spacing w:after="0" w:line="240" w:lineRule="auto"/>
        <w:ind w:left="0"/>
        <w:jc w:val="both"/>
        <w:rPr>
          <w:rFonts w:ascii="Calibri" w:hAnsi="Calibri"/>
          <w:sz w:val="24"/>
        </w:rPr>
      </w:pPr>
      <w:r w:rsidRPr="001A1DD6">
        <w:rPr>
          <w:rFonts w:ascii="Calibri" w:hAnsi="Calibri"/>
          <w:sz w:val="24"/>
        </w:rPr>
        <w:t xml:space="preserve">1.) Create a systemic response to homelessness as evidenced by system performance measures, a coordinated entry process, promotion of participant choice, and a model that promotes an open, inclusive, and transparent delivery of homeless assistance; </w:t>
      </w:r>
    </w:p>
    <w:p w:rsidR="00926255" w:rsidRPr="001A1DD6" w:rsidRDefault="00926255" w:rsidP="00602C5F">
      <w:pPr>
        <w:pStyle w:val="ListParagraph"/>
        <w:spacing w:after="0" w:line="240" w:lineRule="auto"/>
        <w:ind w:left="0"/>
        <w:jc w:val="both"/>
        <w:rPr>
          <w:rFonts w:ascii="Calibri" w:hAnsi="Calibri"/>
          <w:sz w:val="24"/>
        </w:rPr>
      </w:pPr>
      <w:r w:rsidRPr="001A1DD6">
        <w:rPr>
          <w:rFonts w:ascii="Calibri" w:hAnsi="Calibri"/>
          <w:sz w:val="24"/>
        </w:rPr>
        <w:t>2. Strategically allocating resources by comprehensively reviewing project quality, performance, and cost effectiveness, maximizing the use of mainstream and other community-based resources, and reviewing transitional housing projects for cost-effectiveness, performance, and the number and type of eligibility criteria to determine whether it should be reallocated to RRH or another model;</w:t>
      </w:r>
    </w:p>
    <w:p w:rsidR="00926255" w:rsidRPr="001A1DD6" w:rsidRDefault="00926255" w:rsidP="00602C5F">
      <w:pPr>
        <w:pStyle w:val="ListParagraph"/>
        <w:spacing w:after="0" w:line="240" w:lineRule="auto"/>
        <w:ind w:left="0"/>
        <w:jc w:val="both"/>
        <w:rPr>
          <w:rFonts w:ascii="Calibri" w:hAnsi="Calibri"/>
          <w:sz w:val="24"/>
        </w:rPr>
      </w:pPr>
      <w:r w:rsidRPr="001A1DD6">
        <w:rPr>
          <w:rFonts w:ascii="Calibri" w:hAnsi="Calibri"/>
          <w:sz w:val="24"/>
        </w:rPr>
        <w:t xml:space="preserve">3.) Ending chronic homelessness by 2017; </w:t>
      </w:r>
    </w:p>
    <w:p w:rsidR="00926255" w:rsidRPr="001A1DD6" w:rsidRDefault="00926255" w:rsidP="00602C5F">
      <w:pPr>
        <w:pStyle w:val="ListParagraph"/>
        <w:spacing w:after="0" w:line="240" w:lineRule="auto"/>
        <w:ind w:left="0"/>
        <w:jc w:val="both"/>
        <w:rPr>
          <w:rFonts w:ascii="Calibri" w:hAnsi="Calibri"/>
          <w:sz w:val="24"/>
        </w:rPr>
      </w:pPr>
      <w:r w:rsidRPr="001A1DD6">
        <w:rPr>
          <w:rFonts w:ascii="Calibri" w:hAnsi="Calibri"/>
          <w:sz w:val="24"/>
        </w:rPr>
        <w:t>4.) Ending family homelessness;</w:t>
      </w:r>
    </w:p>
    <w:p w:rsidR="00926255" w:rsidRPr="001A1DD6" w:rsidRDefault="00926255" w:rsidP="00602C5F">
      <w:pPr>
        <w:pStyle w:val="ListParagraph"/>
        <w:spacing w:after="0" w:line="240" w:lineRule="auto"/>
        <w:ind w:left="0"/>
        <w:jc w:val="both"/>
        <w:rPr>
          <w:rFonts w:ascii="Calibri" w:hAnsi="Calibri"/>
          <w:sz w:val="24"/>
        </w:rPr>
      </w:pPr>
      <w:r w:rsidRPr="001A1DD6">
        <w:rPr>
          <w:rFonts w:ascii="Calibri" w:hAnsi="Calibri"/>
          <w:sz w:val="24"/>
        </w:rPr>
        <w:t xml:space="preserve">5.) Ending youth homelessness; </w:t>
      </w:r>
    </w:p>
    <w:p w:rsidR="00926255" w:rsidRPr="001A1DD6" w:rsidRDefault="00926255" w:rsidP="00602C5F">
      <w:pPr>
        <w:pStyle w:val="ListParagraph"/>
        <w:spacing w:after="0" w:line="240" w:lineRule="auto"/>
        <w:ind w:left="0"/>
        <w:jc w:val="both"/>
        <w:rPr>
          <w:rFonts w:ascii="Calibri" w:hAnsi="Calibri"/>
          <w:sz w:val="24"/>
        </w:rPr>
      </w:pPr>
      <w:r w:rsidRPr="001A1DD6">
        <w:rPr>
          <w:rFonts w:ascii="Calibri" w:hAnsi="Calibri"/>
          <w:sz w:val="24"/>
        </w:rPr>
        <w:t xml:space="preserve">6.) Ending veteran homelessness; </w:t>
      </w:r>
    </w:p>
    <w:p w:rsidR="00926255" w:rsidRPr="001A1DD6" w:rsidRDefault="00926255" w:rsidP="00602C5F">
      <w:pPr>
        <w:pStyle w:val="ListParagraph"/>
        <w:spacing w:after="0" w:line="240" w:lineRule="auto"/>
        <w:ind w:left="0"/>
        <w:jc w:val="both"/>
        <w:rPr>
          <w:rFonts w:ascii="Calibri" w:hAnsi="Calibri"/>
          <w:sz w:val="24"/>
        </w:rPr>
      </w:pPr>
      <w:r w:rsidRPr="001A1DD6">
        <w:rPr>
          <w:rFonts w:ascii="Calibri" w:hAnsi="Calibri"/>
          <w:sz w:val="24"/>
        </w:rPr>
        <w:t xml:space="preserve">7.) and Using a Housing First approach that uses data to quickly and stably house homeless persons, engaging landlords and property owners, removing barriers to entry, and adopting client-centered service methods. </w:t>
      </w:r>
    </w:p>
    <w:p w:rsidR="00B116E3" w:rsidRPr="001A1DD6" w:rsidRDefault="00B116E3" w:rsidP="00602C5F">
      <w:pPr>
        <w:pStyle w:val="ListParagraph"/>
        <w:spacing w:after="0" w:line="240" w:lineRule="auto"/>
        <w:ind w:left="0"/>
        <w:jc w:val="both"/>
        <w:rPr>
          <w:rFonts w:ascii="Calibri" w:hAnsi="Calibri"/>
          <w:sz w:val="24"/>
        </w:rPr>
      </w:pPr>
    </w:p>
    <w:p w:rsidR="00B116E3" w:rsidRPr="001A1DD6" w:rsidRDefault="00B116E3" w:rsidP="00602C5F">
      <w:pPr>
        <w:pStyle w:val="ListParagraph"/>
        <w:spacing w:after="0" w:line="240" w:lineRule="auto"/>
        <w:ind w:left="0"/>
        <w:jc w:val="both"/>
        <w:rPr>
          <w:rFonts w:ascii="Calibri" w:hAnsi="Calibri"/>
          <w:sz w:val="24"/>
        </w:rPr>
      </w:pPr>
      <w:r w:rsidRPr="001A1DD6">
        <w:rPr>
          <w:rFonts w:ascii="Calibri" w:hAnsi="Calibri"/>
          <w:sz w:val="24"/>
        </w:rPr>
        <w:t>*It is noted that HUD Priorities may change from year to year and this section may be updated upon release of the NOFA.</w:t>
      </w:r>
    </w:p>
    <w:p w:rsidR="007931A6" w:rsidRPr="001A1DD6" w:rsidRDefault="007931A6" w:rsidP="00926255">
      <w:pPr>
        <w:pStyle w:val="ListParagraph"/>
        <w:spacing w:after="0" w:line="240" w:lineRule="auto"/>
        <w:ind w:left="1499"/>
        <w:jc w:val="both"/>
        <w:rPr>
          <w:rFonts w:ascii="Calibri" w:hAnsi="Calibri"/>
          <w:sz w:val="24"/>
        </w:rPr>
      </w:pPr>
    </w:p>
    <w:p w:rsidR="007931A6" w:rsidRPr="001A1DD6" w:rsidRDefault="001A1BC3" w:rsidP="00602C5F">
      <w:pPr>
        <w:pStyle w:val="ListParagraph"/>
        <w:spacing w:after="0" w:line="240" w:lineRule="auto"/>
        <w:ind w:left="0"/>
        <w:jc w:val="both"/>
        <w:rPr>
          <w:rFonts w:ascii="Calibri" w:hAnsi="Calibri"/>
          <w:b/>
          <w:sz w:val="24"/>
          <w:u w:val="single"/>
        </w:rPr>
      </w:pPr>
      <w:r w:rsidRPr="001A1DD6">
        <w:rPr>
          <w:rFonts w:ascii="Calibri" w:hAnsi="Calibri"/>
          <w:b/>
          <w:sz w:val="24"/>
          <w:u w:val="single"/>
        </w:rPr>
        <w:t>Tier</w:t>
      </w:r>
      <w:r w:rsidR="007931A6" w:rsidRPr="001A1DD6">
        <w:rPr>
          <w:rFonts w:ascii="Calibri" w:hAnsi="Calibri"/>
          <w:b/>
          <w:sz w:val="24"/>
          <w:u w:val="single"/>
        </w:rPr>
        <w:t xml:space="preserve"> and Ranking</w:t>
      </w:r>
    </w:p>
    <w:p w:rsidR="007931A6" w:rsidRDefault="007931A6" w:rsidP="00602C5F">
      <w:pPr>
        <w:pStyle w:val="ListParagraph"/>
        <w:spacing w:after="0" w:line="240" w:lineRule="auto"/>
        <w:ind w:left="0"/>
        <w:jc w:val="both"/>
        <w:rPr>
          <w:rFonts w:ascii="Calibri" w:hAnsi="Calibri"/>
          <w:sz w:val="24"/>
        </w:rPr>
      </w:pPr>
      <w:r>
        <w:rPr>
          <w:rFonts w:ascii="Calibri" w:hAnsi="Calibri"/>
          <w:sz w:val="24"/>
        </w:rPr>
        <w:t xml:space="preserve">The CoC must assign a unique rank to each project that it intends to submit to HUD for funding. HUD strongly advises CoCs to rank higher those project applications that the CoC determines are high priority, high performing, and meet the needs and gaps as identified in the CoC. </w:t>
      </w:r>
    </w:p>
    <w:p w:rsidR="007931A6" w:rsidRDefault="007931A6" w:rsidP="00602C5F">
      <w:pPr>
        <w:pStyle w:val="ListParagraph"/>
        <w:spacing w:after="0" w:line="240" w:lineRule="auto"/>
        <w:ind w:left="0"/>
        <w:jc w:val="both"/>
        <w:rPr>
          <w:rFonts w:ascii="Calibri" w:hAnsi="Calibri"/>
          <w:b/>
          <w:sz w:val="24"/>
          <w:u w:val="single"/>
        </w:rPr>
      </w:pPr>
      <w:r>
        <w:rPr>
          <w:rFonts w:ascii="Calibri" w:hAnsi="Calibri"/>
          <w:sz w:val="24"/>
        </w:rPr>
        <w:br/>
      </w:r>
      <w:r w:rsidRPr="007931A6">
        <w:rPr>
          <w:rFonts w:ascii="Calibri" w:hAnsi="Calibri"/>
          <w:b/>
          <w:sz w:val="24"/>
          <w:u w:val="single"/>
        </w:rPr>
        <w:t>Tiers</w:t>
      </w:r>
    </w:p>
    <w:p w:rsidR="007931A6" w:rsidRDefault="007931A6" w:rsidP="00602C5F">
      <w:pPr>
        <w:pStyle w:val="ListParagraph"/>
        <w:spacing w:after="0" w:line="240" w:lineRule="auto"/>
        <w:ind w:left="0"/>
        <w:jc w:val="both"/>
        <w:rPr>
          <w:rFonts w:ascii="Calibri" w:hAnsi="Calibri"/>
          <w:sz w:val="24"/>
        </w:rPr>
      </w:pPr>
      <w:r>
        <w:rPr>
          <w:rFonts w:ascii="Calibri" w:hAnsi="Calibri"/>
          <w:sz w:val="24"/>
        </w:rPr>
        <w:t xml:space="preserve">To ensure that CoCs have the opportunity to prioritize their projects locally in the event that HUD is not able to fund all renewals, HUD requires that CoCs rank projects in 2 tiers. The tiers are financial </w:t>
      </w:r>
      <w:r w:rsidR="00AA73EF">
        <w:rPr>
          <w:rFonts w:ascii="Calibri" w:hAnsi="Calibri"/>
          <w:sz w:val="24"/>
        </w:rPr>
        <w:t>thresholds. (Per the FY2016 NOFA, Tier 1 is equal to 93 percent of the CoC’s ARD amount approved on the final HUD-approved GIW and projects in this tier. See page 13, Section II B.16.)</w:t>
      </w:r>
    </w:p>
    <w:p w:rsidR="00926255" w:rsidRDefault="00926255" w:rsidP="00602C5F">
      <w:pPr>
        <w:pStyle w:val="ListParagraph"/>
        <w:spacing w:line="240" w:lineRule="auto"/>
        <w:ind w:left="0"/>
        <w:jc w:val="both"/>
        <w:rPr>
          <w:rFonts w:ascii="Calibri" w:hAnsi="Calibri"/>
          <w:sz w:val="24"/>
        </w:rPr>
      </w:pPr>
    </w:p>
    <w:p w:rsidR="00182662" w:rsidRDefault="007931A6" w:rsidP="00602C5F">
      <w:pPr>
        <w:pStyle w:val="ListParagraph"/>
        <w:spacing w:after="0" w:line="240" w:lineRule="auto"/>
        <w:ind w:left="0"/>
        <w:jc w:val="both"/>
        <w:rPr>
          <w:rFonts w:ascii="Calibri" w:hAnsi="Calibri"/>
          <w:sz w:val="24"/>
        </w:rPr>
      </w:pPr>
      <w:r>
        <w:rPr>
          <w:rFonts w:ascii="Calibri" w:hAnsi="Calibri"/>
          <w:sz w:val="24"/>
        </w:rPr>
        <w:t>Consistent with the HUD CoC Program Competition NOFA, projects will be ranked as follows:</w:t>
      </w:r>
    </w:p>
    <w:p w:rsidR="00926255" w:rsidRPr="00182662" w:rsidRDefault="00926255" w:rsidP="00602C5F">
      <w:pPr>
        <w:pStyle w:val="ListParagraph"/>
        <w:spacing w:line="240" w:lineRule="auto"/>
        <w:ind w:left="0"/>
        <w:jc w:val="both"/>
        <w:rPr>
          <w:rFonts w:ascii="Calibri" w:hAnsi="Calibri"/>
          <w:sz w:val="24"/>
        </w:rPr>
      </w:pPr>
    </w:p>
    <w:p w:rsidR="007931A6" w:rsidRPr="00451BC8" w:rsidRDefault="00451BC8" w:rsidP="00602C5F">
      <w:pPr>
        <w:pStyle w:val="ListParagraph"/>
        <w:spacing w:line="240" w:lineRule="auto"/>
        <w:ind w:left="0"/>
        <w:jc w:val="both"/>
        <w:rPr>
          <w:rFonts w:ascii="Calibri" w:hAnsi="Calibri"/>
          <w:b/>
          <w:sz w:val="24"/>
          <w:u w:val="single"/>
        </w:rPr>
      </w:pPr>
      <w:r w:rsidRPr="00451BC8">
        <w:rPr>
          <w:rFonts w:ascii="Calibri" w:hAnsi="Calibri"/>
          <w:b/>
          <w:sz w:val="24"/>
          <w:u w:val="single"/>
        </w:rPr>
        <w:t xml:space="preserve">Tier 1: </w:t>
      </w:r>
    </w:p>
    <w:p w:rsidR="007931A6" w:rsidRDefault="007931A6" w:rsidP="00602C5F">
      <w:pPr>
        <w:pStyle w:val="ListParagraph"/>
        <w:spacing w:line="240" w:lineRule="auto"/>
        <w:ind w:left="0"/>
        <w:jc w:val="both"/>
        <w:rPr>
          <w:rFonts w:ascii="Calibri" w:hAnsi="Calibri"/>
          <w:sz w:val="24"/>
        </w:rPr>
      </w:pPr>
      <w:r>
        <w:rPr>
          <w:rFonts w:ascii="Calibri" w:hAnsi="Calibri"/>
          <w:sz w:val="24"/>
        </w:rPr>
        <w:t xml:space="preserve">1.) </w:t>
      </w:r>
      <w:r w:rsidR="00810970">
        <w:rPr>
          <w:rFonts w:ascii="Calibri" w:hAnsi="Calibri"/>
          <w:sz w:val="24"/>
        </w:rPr>
        <w:t xml:space="preserve">Renewal </w:t>
      </w:r>
      <w:r w:rsidR="00915FC2">
        <w:rPr>
          <w:rFonts w:ascii="Calibri" w:hAnsi="Calibri"/>
          <w:sz w:val="24"/>
        </w:rPr>
        <w:t xml:space="preserve">HMIS, </w:t>
      </w:r>
      <w:r w:rsidR="00810970">
        <w:rPr>
          <w:rFonts w:ascii="Calibri" w:hAnsi="Calibri"/>
          <w:sz w:val="24"/>
        </w:rPr>
        <w:t>p</w:t>
      </w:r>
      <w:r>
        <w:rPr>
          <w:rFonts w:ascii="Calibri" w:hAnsi="Calibri"/>
          <w:sz w:val="24"/>
        </w:rPr>
        <w:t>ermanent housing p</w:t>
      </w:r>
      <w:r w:rsidR="00810970">
        <w:rPr>
          <w:rFonts w:ascii="Calibri" w:hAnsi="Calibri"/>
          <w:sz w:val="24"/>
        </w:rPr>
        <w:t>rojects,</w:t>
      </w:r>
      <w:r w:rsidR="00915FC2">
        <w:rPr>
          <w:rFonts w:ascii="Calibri" w:hAnsi="Calibri"/>
          <w:sz w:val="24"/>
        </w:rPr>
        <w:t xml:space="preserve"> PSH</w:t>
      </w:r>
      <w:r w:rsidR="00BA79B3">
        <w:rPr>
          <w:rFonts w:ascii="Calibri" w:hAnsi="Calibri"/>
          <w:sz w:val="24"/>
        </w:rPr>
        <w:t xml:space="preserve"> that serves a priority population</w:t>
      </w:r>
      <w:r w:rsidR="00915FC2">
        <w:rPr>
          <w:rFonts w:ascii="Calibri" w:hAnsi="Calibri"/>
          <w:sz w:val="24"/>
        </w:rPr>
        <w:t>, RRH, or transitional housing that exclusively serves homeless youth</w:t>
      </w:r>
      <w:r w:rsidR="00451BC8">
        <w:rPr>
          <w:rFonts w:ascii="Calibri" w:hAnsi="Calibri"/>
          <w:sz w:val="24"/>
        </w:rPr>
        <w:t xml:space="preserve">; </w:t>
      </w:r>
    </w:p>
    <w:p w:rsidR="00810970" w:rsidRDefault="00810970" w:rsidP="00602C5F">
      <w:pPr>
        <w:pStyle w:val="ListParagraph"/>
        <w:spacing w:line="240" w:lineRule="auto"/>
        <w:ind w:left="0"/>
        <w:jc w:val="both"/>
        <w:rPr>
          <w:rFonts w:ascii="Calibri" w:hAnsi="Calibri"/>
          <w:sz w:val="24"/>
        </w:rPr>
      </w:pPr>
      <w:r>
        <w:rPr>
          <w:rFonts w:ascii="Calibri" w:hAnsi="Calibri"/>
          <w:sz w:val="24"/>
        </w:rPr>
        <w:t>2.) New PSH projects created through reallocation for 100 percent chronically homeless</w:t>
      </w:r>
      <w:r w:rsidR="00451BC8">
        <w:rPr>
          <w:rFonts w:ascii="Calibri" w:hAnsi="Calibri"/>
          <w:sz w:val="24"/>
        </w:rPr>
        <w:t>, especially chronically homeless families with children and youth</w:t>
      </w:r>
      <w:r>
        <w:rPr>
          <w:rFonts w:ascii="Calibri" w:hAnsi="Calibri"/>
          <w:sz w:val="24"/>
        </w:rPr>
        <w:t>;</w:t>
      </w:r>
    </w:p>
    <w:p w:rsidR="00810970" w:rsidRDefault="00810970" w:rsidP="00602C5F">
      <w:pPr>
        <w:pStyle w:val="ListParagraph"/>
        <w:spacing w:line="240" w:lineRule="auto"/>
        <w:ind w:left="0"/>
        <w:jc w:val="both"/>
        <w:rPr>
          <w:rFonts w:ascii="Calibri" w:hAnsi="Calibri"/>
          <w:sz w:val="24"/>
        </w:rPr>
      </w:pPr>
      <w:r>
        <w:rPr>
          <w:rFonts w:ascii="Calibri" w:hAnsi="Calibri"/>
          <w:sz w:val="24"/>
        </w:rPr>
        <w:t>3.) New rapid re-housing projects created through reallocation for ho</w:t>
      </w:r>
      <w:r w:rsidR="00451BC8">
        <w:rPr>
          <w:rFonts w:ascii="Calibri" w:hAnsi="Calibri"/>
          <w:sz w:val="24"/>
        </w:rPr>
        <w:t>meless households with children and youth;</w:t>
      </w:r>
    </w:p>
    <w:p w:rsidR="00810970" w:rsidRDefault="00810970" w:rsidP="00602C5F">
      <w:pPr>
        <w:pStyle w:val="ListParagraph"/>
        <w:spacing w:line="240" w:lineRule="auto"/>
        <w:ind w:left="0"/>
        <w:jc w:val="both"/>
        <w:rPr>
          <w:rFonts w:ascii="Calibri" w:hAnsi="Calibri"/>
          <w:sz w:val="24"/>
        </w:rPr>
      </w:pPr>
      <w:r>
        <w:rPr>
          <w:rFonts w:ascii="Calibri" w:hAnsi="Calibri"/>
          <w:sz w:val="24"/>
        </w:rPr>
        <w:t>4.) Renewal transitional housing;</w:t>
      </w:r>
    </w:p>
    <w:p w:rsidR="00810970" w:rsidRDefault="00810970" w:rsidP="00602C5F">
      <w:pPr>
        <w:pStyle w:val="ListParagraph"/>
        <w:spacing w:line="240" w:lineRule="auto"/>
        <w:ind w:left="0"/>
        <w:jc w:val="both"/>
        <w:rPr>
          <w:rFonts w:ascii="Calibri" w:hAnsi="Calibri"/>
          <w:sz w:val="24"/>
        </w:rPr>
      </w:pPr>
      <w:r>
        <w:rPr>
          <w:rFonts w:ascii="Calibri" w:hAnsi="Calibri"/>
          <w:sz w:val="24"/>
        </w:rPr>
        <w:t xml:space="preserve">5.) CoC planning costs; </w:t>
      </w:r>
    </w:p>
    <w:p w:rsidR="00810970" w:rsidRDefault="00810970" w:rsidP="00602C5F">
      <w:pPr>
        <w:pStyle w:val="ListParagraph"/>
        <w:spacing w:line="240" w:lineRule="auto"/>
        <w:ind w:left="0"/>
        <w:jc w:val="both"/>
        <w:rPr>
          <w:rFonts w:ascii="Calibri" w:hAnsi="Calibri"/>
          <w:sz w:val="24"/>
        </w:rPr>
      </w:pPr>
      <w:r>
        <w:rPr>
          <w:rFonts w:ascii="Calibri" w:hAnsi="Calibri"/>
          <w:sz w:val="24"/>
        </w:rPr>
        <w:t>6.) UFA costs;</w:t>
      </w:r>
      <w:r w:rsidR="00451BC8">
        <w:rPr>
          <w:rFonts w:ascii="Calibri" w:hAnsi="Calibri"/>
          <w:sz w:val="24"/>
        </w:rPr>
        <w:t xml:space="preserve"> </w:t>
      </w:r>
      <w:r>
        <w:rPr>
          <w:rFonts w:ascii="Calibri" w:hAnsi="Calibri"/>
          <w:sz w:val="24"/>
        </w:rPr>
        <w:t xml:space="preserve">and </w:t>
      </w:r>
    </w:p>
    <w:p w:rsidR="00602C5F" w:rsidRDefault="00451BC8" w:rsidP="00602C5F">
      <w:pPr>
        <w:pStyle w:val="ListParagraph"/>
        <w:spacing w:line="240" w:lineRule="auto"/>
        <w:ind w:left="0"/>
        <w:jc w:val="both"/>
        <w:rPr>
          <w:rFonts w:ascii="Calibri" w:hAnsi="Calibri"/>
          <w:sz w:val="24"/>
        </w:rPr>
      </w:pPr>
      <w:r>
        <w:rPr>
          <w:rFonts w:ascii="Calibri" w:hAnsi="Calibri"/>
          <w:sz w:val="24"/>
        </w:rPr>
        <w:t>7</w:t>
      </w:r>
      <w:r w:rsidR="00810970">
        <w:rPr>
          <w:rFonts w:ascii="Calibri" w:hAnsi="Calibri"/>
          <w:sz w:val="24"/>
        </w:rPr>
        <w:t>.) Any project application submitted by the CoC that was not included in the HUD approved GIW.</w:t>
      </w:r>
    </w:p>
    <w:p w:rsidR="00926255" w:rsidRPr="00602C5F" w:rsidRDefault="00810970" w:rsidP="00602C5F">
      <w:pPr>
        <w:pStyle w:val="ListParagraph"/>
        <w:numPr>
          <w:ilvl w:val="0"/>
          <w:numId w:val="6"/>
        </w:numPr>
        <w:spacing w:line="240" w:lineRule="auto"/>
        <w:jc w:val="both"/>
        <w:rPr>
          <w:rFonts w:ascii="Calibri" w:hAnsi="Calibri"/>
          <w:sz w:val="24"/>
        </w:rPr>
      </w:pPr>
      <w:r w:rsidRPr="00810970">
        <w:rPr>
          <w:rFonts w:ascii="Calibri" w:hAnsi="Calibri"/>
          <w:b/>
          <w:sz w:val="24"/>
        </w:rPr>
        <w:t>HMIS renewals will be placed in Tier 1</w:t>
      </w:r>
      <w:r w:rsidR="00451BC8">
        <w:rPr>
          <w:rFonts w:ascii="Calibri" w:hAnsi="Calibri"/>
          <w:b/>
          <w:sz w:val="24"/>
        </w:rPr>
        <w:t xml:space="preserve"> due to the requirement of HMIS reporting. </w:t>
      </w:r>
    </w:p>
    <w:p w:rsidR="00926255" w:rsidRDefault="00451BC8" w:rsidP="00602C5F">
      <w:pPr>
        <w:spacing w:after="0" w:line="240" w:lineRule="auto"/>
        <w:jc w:val="both"/>
        <w:rPr>
          <w:rFonts w:ascii="Calibri" w:hAnsi="Calibri"/>
          <w:b/>
          <w:sz w:val="24"/>
          <w:u w:val="single"/>
        </w:rPr>
      </w:pPr>
      <w:r w:rsidRPr="00451BC8">
        <w:rPr>
          <w:rFonts w:ascii="Calibri" w:hAnsi="Calibri"/>
          <w:b/>
          <w:sz w:val="24"/>
          <w:u w:val="single"/>
        </w:rPr>
        <w:t xml:space="preserve">Tier 2: </w:t>
      </w:r>
    </w:p>
    <w:p w:rsidR="00926255" w:rsidRDefault="00810970" w:rsidP="00602C5F">
      <w:pPr>
        <w:spacing w:after="0" w:line="240" w:lineRule="auto"/>
        <w:jc w:val="both"/>
        <w:rPr>
          <w:rFonts w:ascii="Calibri" w:hAnsi="Calibri"/>
          <w:sz w:val="24"/>
        </w:rPr>
      </w:pPr>
      <w:r>
        <w:rPr>
          <w:rFonts w:ascii="Calibri" w:hAnsi="Calibri"/>
          <w:sz w:val="24"/>
        </w:rPr>
        <w:t xml:space="preserve">1.) </w:t>
      </w:r>
      <w:r w:rsidR="00451BC8">
        <w:rPr>
          <w:rFonts w:ascii="Calibri" w:hAnsi="Calibri"/>
          <w:sz w:val="24"/>
        </w:rPr>
        <w:t>Renewal and new PSH, RRH, or transitional housing that exclusively serves homeless youth;</w:t>
      </w:r>
    </w:p>
    <w:p w:rsidR="007A0DB6" w:rsidRPr="00926255" w:rsidRDefault="007A0DB6" w:rsidP="00602C5F">
      <w:pPr>
        <w:spacing w:after="0" w:line="240" w:lineRule="auto"/>
        <w:jc w:val="both"/>
        <w:rPr>
          <w:rFonts w:ascii="Calibri" w:hAnsi="Calibri"/>
          <w:sz w:val="24"/>
        </w:rPr>
      </w:pPr>
      <w:r>
        <w:rPr>
          <w:rFonts w:ascii="Calibri" w:hAnsi="Calibri"/>
          <w:sz w:val="24"/>
        </w:rPr>
        <w:t xml:space="preserve">2.) </w:t>
      </w:r>
      <w:r w:rsidR="00451BC8">
        <w:rPr>
          <w:rFonts w:ascii="Calibri" w:hAnsi="Calibri"/>
          <w:sz w:val="24"/>
        </w:rPr>
        <w:t xml:space="preserve">Renewal transitional housing, except those transitional housing projects that exclusively serve homeless youth; </w:t>
      </w:r>
    </w:p>
    <w:p w:rsidR="007A0DB6" w:rsidRDefault="00451BC8" w:rsidP="00602C5F">
      <w:pPr>
        <w:pStyle w:val="ListParagraph"/>
        <w:spacing w:after="0" w:line="240" w:lineRule="auto"/>
        <w:ind w:left="0"/>
        <w:jc w:val="both"/>
        <w:rPr>
          <w:rFonts w:ascii="Calibri" w:hAnsi="Calibri"/>
          <w:sz w:val="24"/>
        </w:rPr>
      </w:pPr>
      <w:r>
        <w:rPr>
          <w:rFonts w:ascii="Calibri" w:hAnsi="Calibri"/>
          <w:sz w:val="24"/>
        </w:rPr>
        <w:t xml:space="preserve">3.) </w:t>
      </w:r>
      <w:r w:rsidR="007A0DB6">
        <w:rPr>
          <w:rFonts w:ascii="Calibri" w:hAnsi="Calibri"/>
          <w:sz w:val="24"/>
        </w:rPr>
        <w:t xml:space="preserve">CoC planning costs; </w:t>
      </w:r>
    </w:p>
    <w:p w:rsidR="007A0DB6" w:rsidRDefault="00451BC8" w:rsidP="00602C5F">
      <w:pPr>
        <w:pStyle w:val="ListParagraph"/>
        <w:spacing w:line="240" w:lineRule="auto"/>
        <w:ind w:left="0"/>
        <w:jc w:val="both"/>
        <w:rPr>
          <w:rFonts w:ascii="Calibri" w:hAnsi="Calibri"/>
          <w:sz w:val="24"/>
        </w:rPr>
      </w:pPr>
      <w:r>
        <w:rPr>
          <w:rFonts w:ascii="Calibri" w:hAnsi="Calibri"/>
          <w:sz w:val="24"/>
        </w:rPr>
        <w:t>4</w:t>
      </w:r>
      <w:r w:rsidR="007A0DB6">
        <w:rPr>
          <w:rFonts w:ascii="Calibri" w:hAnsi="Calibri"/>
          <w:sz w:val="24"/>
        </w:rPr>
        <w:t>.) UFA costs;</w:t>
      </w:r>
    </w:p>
    <w:p w:rsidR="007A0DB6" w:rsidRDefault="00451BC8" w:rsidP="00602C5F">
      <w:pPr>
        <w:pStyle w:val="ListParagraph"/>
        <w:spacing w:line="240" w:lineRule="auto"/>
        <w:ind w:left="0"/>
        <w:jc w:val="both"/>
        <w:rPr>
          <w:rFonts w:ascii="Calibri" w:hAnsi="Calibri"/>
          <w:sz w:val="24"/>
        </w:rPr>
      </w:pPr>
      <w:r>
        <w:rPr>
          <w:rFonts w:ascii="Calibri" w:hAnsi="Calibri"/>
          <w:sz w:val="24"/>
        </w:rPr>
        <w:t>5</w:t>
      </w:r>
      <w:r w:rsidR="007A0DB6">
        <w:rPr>
          <w:rFonts w:ascii="Calibri" w:hAnsi="Calibri"/>
          <w:sz w:val="24"/>
        </w:rPr>
        <w:t>.) SSO projects for centralized or coordinated assessment;</w:t>
      </w:r>
    </w:p>
    <w:p w:rsidR="00602C5F" w:rsidRDefault="007A0DB6" w:rsidP="00602C5F">
      <w:pPr>
        <w:pStyle w:val="ListParagraph"/>
        <w:spacing w:line="240" w:lineRule="auto"/>
        <w:ind w:left="0"/>
        <w:jc w:val="both"/>
        <w:rPr>
          <w:rFonts w:ascii="Calibri" w:hAnsi="Calibri"/>
          <w:sz w:val="24"/>
        </w:rPr>
      </w:pPr>
      <w:r>
        <w:rPr>
          <w:rFonts w:ascii="Calibri" w:hAnsi="Calibri"/>
          <w:sz w:val="24"/>
        </w:rPr>
        <w:t>10.) Any project application submitted by the CoC that was not included in the HUD approved GIW.</w:t>
      </w:r>
    </w:p>
    <w:p w:rsidR="007A0DB6" w:rsidRPr="00602C5F" w:rsidRDefault="007A0DB6" w:rsidP="00602C5F">
      <w:pPr>
        <w:pStyle w:val="ListParagraph"/>
        <w:numPr>
          <w:ilvl w:val="0"/>
          <w:numId w:val="5"/>
        </w:numPr>
        <w:spacing w:line="240" w:lineRule="auto"/>
        <w:jc w:val="both"/>
        <w:rPr>
          <w:rFonts w:ascii="Calibri" w:hAnsi="Calibri"/>
          <w:sz w:val="24"/>
        </w:rPr>
      </w:pPr>
      <w:r w:rsidRPr="007A0DB6">
        <w:rPr>
          <w:rFonts w:ascii="Calibri" w:hAnsi="Calibri"/>
          <w:b/>
          <w:sz w:val="24"/>
        </w:rPr>
        <w:t>CoC planning grant is placed in Tier 2</w:t>
      </w:r>
    </w:p>
    <w:p w:rsidR="007A0DB6" w:rsidRPr="001A1DD6" w:rsidRDefault="007A0DB6" w:rsidP="00926255">
      <w:pPr>
        <w:spacing w:line="240" w:lineRule="auto"/>
        <w:jc w:val="both"/>
        <w:rPr>
          <w:rFonts w:ascii="Calibri" w:hAnsi="Calibri"/>
          <w:b/>
          <w:sz w:val="24"/>
          <w:u w:val="single"/>
        </w:rPr>
      </w:pPr>
      <w:r w:rsidRPr="001A1DD6">
        <w:rPr>
          <w:rFonts w:ascii="Calibri" w:hAnsi="Calibri"/>
          <w:b/>
          <w:sz w:val="24"/>
          <w:u w:val="single"/>
        </w:rPr>
        <w:t xml:space="preserve">Ranking Criteria Process </w:t>
      </w:r>
    </w:p>
    <w:p w:rsidR="007A0DB6" w:rsidRPr="007A0DB6" w:rsidRDefault="007A0DB6" w:rsidP="00926255">
      <w:pPr>
        <w:spacing w:line="240" w:lineRule="auto"/>
        <w:jc w:val="both"/>
        <w:rPr>
          <w:rFonts w:ascii="Calibri" w:hAnsi="Calibri"/>
          <w:sz w:val="24"/>
        </w:rPr>
      </w:pPr>
      <w:r w:rsidRPr="001A1DD6">
        <w:rPr>
          <w:rFonts w:ascii="Calibri" w:hAnsi="Calibri"/>
          <w:sz w:val="24"/>
        </w:rPr>
        <w:t>The ranking process used locally will align with HUD’s pr</w:t>
      </w:r>
      <w:r w:rsidR="007A7D80" w:rsidRPr="001A1DD6">
        <w:rPr>
          <w:rFonts w:ascii="Calibri" w:hAnsi="Calibri"/>
          <w:sz w:val="24"/>
        </w:rPr>
        <w:t>ocess as described in the 2016</w:t>
      </w:r>
      <w:r w:rsidRPr="001A1DD6">
        <w:rPr>
          <w:rFonts w:ascii="Calibri" w:hAnsi="Calibri"/>
          <w:sz w:val="24"/>
        </w:rPr>
        <w:t xml:space="preserve"> </w:t>
      </w:r>
      <w:r w:rsidR="007A7D80" w:rsidRPr="001A1DD6">
        <w:rPr>
          <w:rFonts w:ascii="Calibri" w:hAnsi="Calibri"/>
          <w:sz w:val="24"/>
        </w:rPr>
        <w:t xml:space="preserve">NOFA. </w:t>
      </w:r>
      <w:r w:rsidRPr="001A1DD6">
        <w:rPr>
          <w:rFonts w:ascii="Calibri" w:hAnsi="Calibri"/>
          <w:sz w:val="24"/>
        </w:rPr>
        <w:t>Points will be assigned to projects in acco</w:t>
      </w:r>
      <w:r w:rsidR="007A7D80" w:rsidRPr="001A1DD6">
        <w:rPr>
          <w:rFonts w:ascii="Calibri" w:hAnsi="Calibri"/>
          <w:sz w:val="24"/>
        </w:rPr>
        <w:t>rdance to corresponding criteria</w:t>
      </w:r>
      <w:r w:rsidRPr="001A1DD6">
        <w:rPr>
          <w:rFonts w:ascii="Calibri" w:hAnsi="Calibri"/>
          <w:sz w:val="24"/>
        </w:rPr>
        <w:t xml:space="preserve">. Renewal </w:t>
      </w:r>
      <w:r w:rsidR="001A1BC3" w:rsidRPr="001A1DD6">
        <w:rPr>
          <w:rFonts w:ascii="Calibri" w:hAnsi="Calibri"/>
          <w:sz w:val="24"/>
        </w:rPr>
        <w:t>Project Applications</w:t>
      </w:r>
      <w:r w:rsidRPr="001A1DD6">
        <w:rPr>
          <w:rFonts w:ascii="Calibri" w:hAnsi="Calibri"/>
          <w:sz w:val="24"/>
        </w:rPr>
        <w:t xml:space="preserve"> will be assigned</w:t>
      </w:r>
      <w:r w:rsidR="001A1BC3" w:rsidRPr="001A1DD6">
        <w:rPr>
          <w:rFonts w:ascii="Calibri" w:hAnsi="Calibri"/>
          <w:sz w:val="24"/>
        </w:rPr>
        <w:t xml:space="preserve"> a numeric</w:t>
      </w:r>
      <w:r w:rsidRPr="001A1DD6">
        <w:rPr>
          <w:rFonts w:ascii="Calibri" w:hAnsi="Calibri"/>
          <w:sz w:val="24"/>
        </w:rPr>
        <w:t xml:space="preserve"> value of up to </w:t>
      </w:r>
      <w:r w:rsidR="009620B8" w:rsidRPr="001A1DD6">
        <w:rPr>
          <w:rFonts w:ascii="Calibri" w:hAnsi="Calibri"/>
          <w:sz w:val="24"/>
        </w:rPr>
        <w:t>100</w:t>
      </w:r>
      <w:r w:rsidRPr="001A1DD6">
        <w:rPr>
          <w:rFonts w:ascii="Calibri" w:hAnsi="Calibri"/>
          <w:sz w:val="24"/>
        </w:rPr>
        <w:t xml:space="preserve"> points for the purpose of aligning with HUD’s ranking process and point criteria as provided in the table on the following page. New PSH or RRH projects created through reallocation will be ranked based on the performance of the renewal application which is being reallocated. Projects will be ranked in HUD priority order by project type (e.g. PH, TH, SSO, etc.) applying the methodology described</w:t>
      </w:r>
      <w:r w:rsidRPr="007A0DB6">
        <w:rPr>
          <w:rFonts w:ascii="Calibri" w:hAnsi="Calibri"/>
          <w:sz w:val="24"/>
        </w:rPr>
        <w:t xml:space="preserve"> above. Any remaining proj</w:t>
      </w:r>
      <w:r>
        <w:rPr>
          <w:rFonts w:ascii="Calibri" w:hAnsi="Calibri"/>
          <w:sz w:val="24"/>
        </w:rPr>
        <w:t xml:space="preserve">ects not fitting in the amount </w:t>
      </w:r>
      <w:r w:rsidRPr="007A0DB6">
        <w:rPr>
          <w:rFonts w:ascii="Calibri" w:hAnsi="Calibri"/>
          <w:sz w:val="24"/>
        </w:rPr>
        <w:t xml:space="preserve">allocated for Tier 1 are placed in Tier 2. The following is a </w:t>
      </w:r>
      <w:r>
        <w:rPr>
          <w:rFonts w:ascii="Calibri" w:hAnsi="Calibri"/>
          <w:sz w:val="24"/>
        </w:rPr>
        <w:t xml:space="preserve">matrix of ranking criteria and </w:t>
      </w:r>
      <w:r w:rsidRPr="007A0DB6">
        <w:rPr>
          <w:rFonts w:ascii="Calibri" w:hAnsi="Calibri"/>
          <w:sz w:val="24"/>
        </w:rPr>
        <w:t xml:space="preserve">points. </w:t>
      </w:r>
    </w:p>
    <w:p w:rsidR="00BE09C0" w:rsidRPr="00602C5F" w:rsidRDefault="001A1BC3" w:rsidP="00602C5F">
      <w:pPr>
        <w:spacing w:line="240" w:lineRule="auto"/>
        <w:jc w:val="both"/>
        <w:rPr>
          <w:rFonts w:ascii="Calibri" w:hAnsi="Calibri"/>
          <w:sz w:val="24"/>
        </w:rPr>
      </w:pPr>
      <w:r>
        <w:rPr>
          <w:rFonts w:ascii="Calibri" w:hAnsi="Calibri"/>
          <w:sz w:val="24"/>
        </w:rPr>
        <w:t xml:space="preserve"> </w:t>
      </w:r>
    </w:p>
    <w:p w:rsidR="00BE09C0" w:rsidRDefault="00BE09C0" w:rsidP="007A0DB6">
      <w:pPr>
        <w:jc w:val="center"/>
        <w:rPr>
          <w:rFonts w:ascii="Calibri" w:hAnsi="Calibri"/>
          <w:b/>
          <w:sz w:val="24"/>
        </w:rPr>
      </w:pPr>
    </w:p>
    <w:p w:rsidR="00602C5F" w:rsidRDefault="00602C5F" w:rsidP="007A0DB6">
      <w:pPr>
        <w:jc w:val="center"/>
        <w:rPr>
          <w:rFonts w:ascii="Calibri" w:hAnsi="Calibri"/>
          <w:b/>
          <w:sz w:val="24"/>
        </w:rPr>
      </w:pPr>
    </w:p>
    <w:p w:rsidR="00602C5F" w:rsidRDefault="00602C5F" w:rsidP="007A0DB6">
      <w:pPr>
        <w:jc w:val="center"/>
        <w:rPr>
          <w:rFonts w:ascii="Calibri" w:hAnsi="Calibri"/>
          <w:b/>
          <w:sz w:val="24"/>
        </w:rPr>
      </w:pPr>
    </w:p>
    <w:p w:rsidR="00D644A5" w:rsidRDefault="00D644A5" w:rsidP="007A0DB6">
      <w:pPr>
        <w:jc w:val="center"/>
        <w:rPr>
          <w:rFonts w:ascii="Calibri" w:hAnsi="Calibri"/>
          <w:b/>
          <w:sz w:val="24"/>
        </w:rPr>
      </w:pPr>
    </w:p>
    <w:p w:rsidR="00D644A5" w:rsidRDefault="00D644A5" w:rsidP="007A0DB6">
      <w:pPr>
        <w:jc w:val="center"/>
        <w:rPr>
          <w:rFonts w:ascii="Calibri" w:hAnsi="Calibri"/>
          <w:b/>
          <w:sz w:val="24"/>
        </w:rPr>
      </w:pPr>
    </w:p>
    <w:p w:rsidR="007A7D80" w:rsidRDefault="00155865" w:rsidP="007A0DB6">
      <w:pPr>
        <w:jc w:val="center"/>
        <w:rPr>
          <w:rFonts w:ascii="Calibri" w:hAnsi="Calibri"/>
          <w:b/>
          <w:sz w:val="24"/>
        </w:rPr>
      </w:pPr>
      <w:r>
        <w:rPr>
          <w:rFonts w:ascii="Calibri" w:hAnsi="Calibri"/>
          <w:b/>
          <w:sz w:val="24"/>
        </w:rPr>
        <w:t>Annual</w:t>
      </w:r>
      <w:r w:rsidR="00FB54FD">
        <w:rPr>
          <w:rFonts w:ascii="Calibri" w:hAnsi="Calibri"/>
          <w:b/>
          <w:sz w:val="24"/>
        </w:rPr>
        <w:t xml:space="preserve"> Ranking Criteria </w:t>
      </w:r>
    </w:p>
    <w:tbl>
      <w:tblPr>
        <w:tblW w:w="10749" w:type="dxa"/>
        <w:tblInd w:w="-640" w:type="dxa"/>
        <w:tblLook w:val="04A0" w:firstRow="1" w:lastRow="0" w:firstColumn="1" w:lastColumn="0" w:noHBand="0" w:noVBand="1"/>
      </w:tblPr>
      <w:tblGrid>
        <w:gridCol w:w="9194"/>
        <w:gridCol w:w="1555"/>
      </w:tblGrid>
      <w:tr w:rsidR="00BA79B3" w:rsidRPr="00BA79B3" w:rsidTr="0052330B">
        <w:trPr>
          <w:trHeight w:val="257"/>
        </w:trPr>
        <w:tc>
          <w:tcPr>
            <w:tcW w:w="9194" w:type="dxa"/>
            <w:tcBorders>
              <w:top w:val="single" w:sz="8" w:space="0" w:color="auto"/>
              <w:left w:val="single" w:sz="8" w:space="0" w:color="auto"/>
              <w:bottom w:val="single" w:sz="4" w:space="0" w:color="auto"/>
              <w:right w:val="single" w:sz="8" w:space="0" w:color="000000"/>
            </w:tcBorders>
            <w:shd w:val="clear" w:color="000000" w:fill="B4C6E7"/>
            <w:noWrap/>
            <w:vAlign w:val="bottom"/>
            <w:hideMark/>
          </w:tcPr>
          <w:p w:rsidR="00BA79B3" w:rsidRPr="00BA79B3" w:rsidRDefault="00BA79B3" w:rsidP="00BA79B3">
            <w:pPr>
              <w:spacing w:after="0" w:line="240" w:lineRule="auto"/>
              <w:rPr>
                <w:rFonts w:ascii="Calibri Light" w:eastAsia="Times New Roman" w:hAnsi="Calibri Light" w:cs="Times New Roman"/>
                <w:b/>
                <w:bCs/>
                <w:color w:val="000000"/>
              </w:rPr>
            </w:pPr>
            <w:r w:rsidRPr="00BA79B3">
              <w:rPr>
                <w:rFonts w:ascii="Calibri Light" w:eastAsia="Times New Roman" w:hAnsi="Calibri Light" w:cs="Times New Roman"/>
                <w:b/>
                <w:bCs/>
                <w:color w:val="000000"/>
              </w:rPr>
              <w:t xml:space="preserve">Program Type and Population Served </w:t>
            </w:r>
          </w:p>
        </w:tc>
        <w:tc>
          <w:tcPr>
            <w:tcW w:w="1555" w:type="dxa"/>
            <w:tcBorders>
              <w:top w:val="single" w:sz="8" w:space="0" w:color="auto"/>
              <w:left w:val="nil"/>
              <w:bottom w:val="single" w:sz="4" w:space="0" w:color="auto"/>
              <w:right w:val="single" w:sz="8" w:space="0" w:color="000000"/>
            </w:tcBorders>
            <w:shd w:val="clear" w:color="000000" w:fill="B4C6E7"/>
            <w:noWrap/>
            <w:vAlign w:val="center"/>
            <w:hideMark/>
          </w:tcPr>
          <w:p w:rsidR="00BA79B3" w:rsidRPr="00BA79B3" w:rsidRDefault="009620B8" w:rsidP="00BA79B3">
            <w:pPr>
              <w:spacing w:after="0" w:line="240" w:lineRule="auto"/>
              <w:jc w:val="center"/>
              <w:rPr>
                <w:rFonts w:ascii="Calibri Light" w:eastAsia="Times New Roman" w:hAnsi="Calibri Light" w:cs="Times New Roman"/>
                <w:b/>
                <w:bCs/>
                <w:color w:val="000000"/>
                <w:sz w:val="20"/>
                <w:szCs w:val="20"/>
              </w:rPr>
            </w:pPr>
            <w:r>
              <w:rPr>
                <w:rFonts w:ascii="Calibri Light" w:eastAsia="Times New Roman" w:hAnsi="Calibri Light" w:cs="Times New Roman"/>
                <w:b/>
                <w:bCs/>
                <w:color w:val="000000"/>
                <w:sz w:val="20"/>
                <w:szCs w:val="20"/>
              </w:rPr>
              <w:t>Up to 10</w:t>
            </w:r>
            <w:r w:rsidR="00BA79B3" w:rsidRPr="00BA79B3">
              <w:rPr>
                <w:rFonts w:ascii="Calibri Light" w:eastAsia="Times New Roman" w:hAnsi="Calibri Light" w:cs="Times New Roman"/>
                <w:b/>
                <w:bCs/>
                <w:color w:val="000000"/>
                <w:sz w:val="20"/>
                <w:szCs w:val="20"/>
              </w:rPr>
              <w:t xml:space="preserve"> points</w:t>
            </w:r>
          </w:p>
        </w:tc>
      </w:tr>
      <w:tr w:rsidR="00BA79B3" w:rsidRPr="00BA79B3" w:rsidTr="0052330B">
        <w:trPr>
          <w:trHeight w:val="257"/>
        </w:trPr>
        <w:tc>
          <w:tcPr>
            <w:tcW w:w="919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A79B3" w:rsidRPr="00BA79B3" w:rsidRDefault="00BA79B3" w:rsidP="00155865">
            <w:pPr>
              <w:spacing w:after="0" w:line="240" w:lineRule="auto"/>
              <w:rPr>
                <w:rFonts w:ascii="Calibri Light" w:eastAsia="Times New Roman" w:hAnsi="Calibri Light" w:cs="Times New Roman"/>
                <w:color w:val="000000"/>
              </w:rPr>
            </w:pPr>
            <w:r w:rsidRPr="00BA79B3">
              <w:rPr>
                <w:rFonts w:ascii="Calibri Light" w:eastAsia="Times New Roman" w:hAnsi="Calibri Light" w:cs="Times New Roman"/>
                <w:color w:val="000000"/>
              </w:rPr>
              <w:t>PSH</w:t>
            </w:r>
            <w:r w:rsidR="001F01E8">
              <w:rPr>
                <w:rFonts w:ascii="Calibri Light" w:eastAsia="Times New Roman" w:hAnsi="Calibri Light" w:cs="Times New Roman"/>
                <w:color w:val="000000"/>
              </w:rPr>
              <w:t xml:space="preserve"> </w:t>
            </w:r>
            <w:r w:rsidR="00FE7FDA">
              <w:rPr>
                <w:rFonts w:ascii="Calibri Light" w:eastAsia="Times New Roman" w:hAnsi="Calibri Light" w:cs="Times New Roman"/>
                <w:color w:val="000000"/>
              </w:rPr>
              <w:t xml:space="preserve">or </w:t>
            </w:r>
            <w:r w:rsidR="001F01E8">
              <w:rPr>
                <w:rFonts w:ascii="Calibri Light" w:eastAsia="Times New Roman" w:hAnsi="Calibri Light" w:cs="Times New Roman"/>
                <w:color w:val="000000"/>
              </w:rPr>
              <w:t>TH</w:t>
            </w:r>
            <w:r w:rsidRPr="00BA79B3">
              <w:rPr>
                <w:rFonts w:ascii="Calibri Light" w:eastAsia="Times New Roman" w:hAnsi="Calibri Light" w:cs="Times New Roman"/>
                <w:color w:val="000000"/>
              </w:rPr>
              <w:t xml:space="preserve"> serving a priority population (Defined in Policy Priorities of</w:t>
            </w:r>
            <w:r w:rsidR="00155865">
              <w:rPr>
                <w:rFonts w:ascii="Calibri Light" w:eastAsia="Times New Roman" w:hAnsi="Calibri Light" w:cs="Times New Roman"/>
                <w:color w:val="000000"/>
              </w:rPr>
              <w:t xml:space="preserve"> the</w:t>
            </w:r>
            <w:r w:rsidRPr="00BA79B3">
              <w:rPr>
                <w:rFonts w:ascii="Calibri Light" w:eastAsia="Times New Roman" w:hAnsi="Calibri Light" w:cs="Times New Roman"/>
                <w:color w:val="000000"/>
              </w:rPr>
              <w:t xml:space="preserve"> NOFA)</w:t>
            </w:r>
          </w:p>
        </w:tc>
        <w:tc>
          <w:tcPr>
            <w:tcW w:w="1555" w:type="dxa"/>
            <w:tcBorders>
              <w:top w:val="single" w:sz="4" w:space="0" w:color="auto"/>
              <w:left w:val="nil"/>
              <w:bottom w:val="single" w:sz="4" w:space="0" w:color="auto"/>
              <w:right w:val="single" w:sz="8" w:space="0" w:color="000000"/>
            </w:tcBorders>
            <w:shd w:val="clear" w:color="auto" w:fill="auto"/>
            <w:noWrap/>
            <w:vAlign w:val="center"/>
            <w:hideMark/>
          </w:tcPr>
          <w:p w:rsidR="00BA79B3" w:rsidRPr="00BA79B3" w:rsidRDefault="00BA79B3" w:rsidP="00BA79B3">
            <w:pPr>
              <w:spacing w:after="0" w:line="240" w:lineRule="auto"/>
              <w:jc w:val="center"/>
              <w:rPr>
                <w:rFonts w:ascii="Calibri Light" w:eastAsia="Times New Roman" w:hAnsi="Calibri Light" w:cs="Times New Roman"/>
                <w:color w:val="000000"/>
              </w:rPr>
            </w:pPr>
            <w:r w:rsidRPr="00BA79B3">
              <w:rPr>
                <w:rFonts w:ascii="Calibri Light" w:eastAsia="Times New Roman" w:hAnsi="Calibri Light" w:cs="Times New Roman"/>
                <w:color w:val="000000"/>
              </w:rPr>
              <w:t>2</w:t>
            </w:r>
          </w:p>
        </w:tc>
      </w:tr>
      <w:tr w:rsidR="00BA79B3" w:rsidRPr="00BA79B3" w:rsidTr="0052330B">
        <w:trPr>
          <w:trHeight w:val="257"/>
        </w:trPr>
        <w:tc>
          <w:tcPr>
            <w:tcW w:w="919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A79B3" w:rsidRPr="00BA79B3" w:rsidRDefault="00BA79B3" w:rsidP="00BA79B3">
            <w:pPr>
              <w:spacing w:after="0" w:line="240" w:lineRule="auto"/>
              <w:rPr>
                <w:rFonts w:ascii="Calibri Light" w:eastAsia="Times New Roman" w:hAnsi="Calibri Light" w:cs="Times New Roman"/>
                <w:color w:val="000000"/>
              </w:rPr>
            </w:pPr>
            <w:r w:rsidRPr="00BA79B3">
              <w:rPr>
                <w:rFonts w:ascii="Calibri Light" w:eastAsia="Times New Roman" w:hAnsi="Calibri Light" w:cs="Times New Roman"/>
                <w:color w:val="000000"/>
              </w:rPr>
              <w:t xml:space="preserve">PSH Serving 100% chronically homeless or TH serving 100% homeless youth </w:t>
            </w:r>
          </w:p>
        </w:tc>
        <w:tc>
          <w:tcPr>
            <w:tcW w:w="1555" w:type="dxa"/>
            <w:tcBorders>
              <w:top w:val="single" w:sz="4" w:space="0" w:color="auto"/>
              <w:left w:val="nil"/>
              <w:bottom w:val="single" w:sz="4" w:space="0" w:color="auto"/>
              <w:right w:val="single" w:sz="8" w:space="0" w:color="000000"/>
            </w:tcBorders>
            <w:shd w:val="clear" w:color="auto" w:fill="auto"/>
            <w:noWrap/>
            <w:vAlign w:val="center"/>
            <w:hideMark/>
          </w:tcPr>
          <w:p w:rsidR="00BA79B3" w:rsidRPr="00BA79B3" w:rsidRDefault="009620B8" w:rsidP="00BA79B3">
            <w:pPr>
              <w:spacing w:after="0" w:line="240" w:lineRule="auto"/>
              <w:jc w:val="center"/>
              <w:rPr>
                <w:rFonts w:ascii="Calibri Light" w:eastAsia="Times New Roman" w:hAnsi="Calibri Light" w:cs="Times New Roman"/>
                <w:color w:val="000000"/>
              </w:rPr>
            </w:pPr>
            <w:r>
              <w:rPr>
                <w:rFonts w:ascii="Calibri Light" w:eastAsia="Times New Roman" w:hAnsi="Calibri Light" w:cs="Times New Roman"/>
                <w:color w:val="000000"/>
              </w:rPr>
              <w:t>2</w:t>
            </w:r>
          </w:p>
        </w:tc>
      </w:tr>
      <w:tr w:rsidR="00BA79B3" w:rsidRPr="00BA79B3" w:rsidTr="0052330B">
        <w:trPr>
          <w:trHeight w:val="257"/>
        </w:trPr>
        <w:tc>
          <w:tcPr>
            <w:tcW w:w="919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A79B3" w:rsidRPr="00BA79B3" w:rsidRDefault="00BA79B3" w:rsidP="00BA79B3">
            <w:pPr>
              <w:spacing w:after="0" w:line="240" w:lineRule="auto"/>
              <w:rPr>
                <w:rFonts w:ascii="Calibri Light" w:eastAsia="Times New Roman" w:hAnsi="Calibri Light" w:cs="Times New Roman"/>
                <w:color w:val="000000"/>
              </w:rPr>
            </w:pPr>
            <w:r w:rsidRPr="00BA79B3">
              <w:rPr>
                <w:rFonts w:ascii="Calibri Light" w:eastAsia="Times New Roman" w:hAnsi="Calibri Light" w:cs="Times New Roman"/>
                <w:color w:val="000000"/>
              </w:rPr>
              <w:t>PSH</w:t>
            </w:r>
            <w:r w:rsidR="00FE7FDA">
              <w:rPr>
                <w:rFonts w:ascii="Calibri Light" w:eastAsia="Times New Roman" w:hAnsi="Calibri Light" w:cs="Times New Roman"/>
                <w:color w:val="000000"/>
              </w:rPr>
              <w:t xml:space="preserve"> or TH</w:t>
            </w:r>
            <w:r w:rsidRPr="00BA79B3">
              <w:rPr>
                <w:rFonts w:ascii="Calibri Light" w:eastAsia="Times New Roman" w:hAnsi="Calibri Light" w:cs="Times New Roman"/>
                <w:color w:val="000000"/>
              </w:rPr>
              <w:t xml:space="preserve"> serving homeless households with children and</w:t>
            </w:r>
            <w:r w:rsidR="00FE7FDA">
              <w:rPr>
                <w:rFonts w:ascii="Calibri Light" w:eastAsia="Times New Roman" w:hAnsi="Calibri Light" w:cs="Times New Roman"/>
                <w:color w:val="000000"/>
              </w:rPr>
              <w:t>/or</w:t>
            </w:r>
            <w:r w:rsidRPr="00BA79B3">
              <w:rPr>
                <w:rFonts w:ascii="Calibri Light" w:eastAsia="Times New Roman" w:hAnsi="Calibri Light" w:cs="Times New Roman"/>
                <w:color w:val="000000"/>
              </w:rPr>
              <w:t xml:space="preserve"> youth </w:t>
            </w:r>
          </w:p>
        </w:tc>
        <w:tc>
          <w:tcPr>
            <w:tcW w:w="1555" w:type="dxa"/>
            <w:tcBorders>
              <w:top w:val="single" w:sz="4" w:space="0" w:color="auto"/>
              <w:left w:val="nil"/>
              <w:bottom w:val="single" w:sz="4" w:space="0" w:color="auto"/>
              <w:right w:val="single" w:sz="8" w:space="0" w:color="000000"/>
            </w:tcBorders>
            <w:shd w:val="clear" w:color="auto" w:fill="auto"/>
            <w:noWrap/>
            <w:vAlign w:val="center"/>
            <w:hideMark/>
          </w:tcPr>
          <w:p w:rsidR="00BA79B3" w:rsidRPr="00BA79B3" w:rsidRDefault="009620B8" w:rsidP="00BA79B3">
            <w:pPr>
              <w:spacing w:after="0" w:line="240" w:lineRule="auto"/>
              <w:jc w:val="center"/>
              <w:rPr>
                <w:rFonts w:ascii="Calibri Light" w:eastAsia="Times New Roman" w:hAnsi="Calibri Light" w:cs="Times New Roman"/>
                <w:color w:val="000000"/>
              </w:rPr>
            </w:pPr>
            <w:r>
              <w:rPr>
                <w:rFonts w:ascii="Calibri Light" w:eastAsia="Times New Roman" w:hAnsi="Calibri Light" w:cs="Times New Roman"/>
                <w:color w:val="000000"/>
              </w:rPr>
              <w:t>2</w:t>
            </w:r>
          </w:p>
        </w:tc>
      </w:tr>
      <w:tr w:rsidR="00BA79B3" w:rsidRPr="00BA79B3" w:rsidTr="0052330B">
        <w:trPr>
          <w:trHeight w:val="257"/>
        </w:trPr>
        <w:tc>
          <w:tcPr>
            <w:tcW w:w="919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A79B3" w:rsidRPr="00BA79B3" w:rsidRDefault="00BA79B3" w:rsidP="00BA79B3">
            <w:pPr>
              <w:spacing w:after="0" w:line="240" w:lineRule="auto"/>
              <w:rPr>
                <w:rFonts w:ascii="Calibri Light" w:eastAsia="Times New Roman" w:hAnsi="Calibri Light" w:cs="Times New Roman"/>
                <w:color w:val="000000"/>
              </w:rPr>
            </w:pPr>
            <w:r w:rsidRPr="00BA79B3">
              <w:rPr>
                <w:rFonts w:ascii="Calibri Light" w:eastAsia="Times New Roman" w:hAnsi="Calibri Light" w:cs="Times New Roman"/>
                <w:color w:val="000000"/>
              </w:rPr>
              <w:t xml:space="preserve">PSH or TH project has adopted a Housing First Model </w:t>
            </w:r>
          </w:p>
        </w:tc>
        <w:tc>
          <w:tcPr>
            <w:tcW w:w="1555" w:type="dxa"/>
            <w:tcBorders>
              <w:top w:val="single" w:sz="4" w:space="0" w:color="auto"/>
              <w:left w:val="nil"/>
              <w:bottom w:val="single" w:sz="4" w:space="0" w:color="auto"/>
              <w:right w:val="single" w:sz="8" w:space="0" w:color="000000"/>
            </w:tcBorders>
            <w:shd w:val="clear" w:color="auto" w:fill="auto"/>
            <w:noWrap/>
            <w:vAlign w:val="center"/>
            <w:hideMark/>
          </w:tcPr>
          <w:p w:rsidR="00BA79B3" w:rsidRPr="00BA79B3" w:rsidRDefault="00BA79B3" w:rsidP="00BA79B3">
            <w:pPr>
              <w:spacing w:after="0" w:line="240" w:lineRule="auto"/>
              <w:jc w:val="center"/>
              <w:rPr>
                <w:rFonts w:ascii="Calibri Light" w:eastAsia="Times New Roman" w:hAnsi="Calibri Light" w:cs="Times New Roman"/>
                <w:color w:val="000000"/>
              </w:rPr>
            </w:pPr>
            <w:r w:rsidRPr="00BA79B3">
              <w:rPr>
                <w:rFonts w:ascii="Calibri Light" w:eastAsia="Times New Roman" w:hAnsi="Calibri Light" w:cs="Times New Roman"/>
                <w:color w:val="000000"/>
              </w:rPr>
              <w:t>2</w:t>
            </w:r>
          </w:p>
        </w:tc>
      </w:tr>
      <w:tr w:rsidR="00BA79B3" w:rsidRPr="00BA79B3" w:rsidTr="0052330B">
        <w:trPr>
          <w:trHeight w:val="257"/>
        </w:trPr>
        <w:tc>
          <w:tcPr>
            <w:tcW w:w="919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A79B3" w:rsidRPr="00BA79B3" w:rsidRDefault="00BA79B3" w:rsidP="0052330B">
            <w:pPr>
              <w:spacing w:after="0" w:line="240" w:lineRule="auto"/>
              <w:rPr>
                <w:rFonts w:ascii="Calibri Light" w:eastAsia="Times New Roman" w:hAnsi="Calibri Light" w:cs="Times New Roman"/>
                <w:color w:val="000000"/>
              </w:rPr>
            </w:pPr>
            <w:r w:rsidRPr="00BA79B3">
              <w:rPr>
                <w:rFonts w:ascii="Calibri Light" w:eastAsia="Times New Roman" w:hAnsi="Calibri Light" w:cs="Times New Roman"/>
                <w:color w:val="000000"/>
              </w:rPr>
              <w:t>PSH or TH project has adopted an extremely low barrier approach, with less than 2 qualifiers for program entry</w:t>
            </w:r>
          </w:p>
        </w:tc>
        <w:tc>
          <w:tcPr>
            <w:tcW w:w="1555" w:type="dxa"/>
            <w:tcBorders>
              <w:top w:val="single" w:sz="4" w:space="0" w:color="auto"/>
              <w:left w:val="nil"/>
              <w:bottom w:val="single" w:sz="4" w:space="0" w:color="auto"/>
              <w:right w:val="single" w:sz="8" w:space="0" w:color="000000"/>
            </w:tcBorders>
            <w:shd w:val="clear" w:color="auto" w:fill="auto"/>
            <w:noWrap/>
            <w:vAlign w:val="center"/>
            <w:hideMark/>
          </w:tcPr>
          <w:p w:rsidR="00BA79B3" w:rsidRPr="00BA79B3" w:rsidRDefault="009620B8" w:rsidP="00BA79B3">
            <w:pPr>
              <w:spacing w:after="0" w:line="240" w:lineRule="auto"/>
              <w:jc w:val="center"/>
              <w:rPr>
                <w:rFonts w:ascii="Calibri Light" w:eastAsia="Times New Roman" w:hAnsi="Calibri Light" w:cs="Times New Roman"/>
                <w:color w:val="000000"/>
              </w:rPr>
            </w:pPr>
            <w:r>
              <w:rPr>
                <w:rFonts w:ascii="Calibri Light" w:eastAsia="Times New Roman" w:hAnsi="Calibri Light" w:cs="Times New Roman"/>
                <w:color w:val="000000"/>
              </w:rPr>
              <w:t>2</w:t>
            </w:r>
          </w:p>
        </w:tc>
      </w:tr>
      <w:tr w:rsidR="00BA79B3" w:rsidRPr="00BA79B3" w:rsidTr="0052330B">
        <w:trPr>
          <w:trHeight w:val="257"/>
        </w:trPr>
        <w:tc>
          <w:tcPr>
            <w:tcW w:w="9194" w:type="dxa"/>
            <w:tcBorders>
              <w:top w:val="nil"/>
              <w:left w:val="single" w:sz="8" w:space="0" w:color="auto"/>
              <w:bottom w:val="single" w:sz="4" w:space="0" w:color="auto"/>
              <w:right w:val="single" w:sz="8" w:space="0" w:color="000000"/>
            </w:tcBorders>
            <w:shd w:val="clear" w:color="000000" w:fill="B4C6E7"/>
            <w:noWrap/>
            <w:vAlign w:val="bottom"/>
            <w:hideMark/>
          </w:tcPr>
          <w:p w:rsidR="00BA79B3" w:rsidRPr="00BA79B3" w:rsidRDefault="00BA79B3" w:rsidP="00BA79B3">
            <w:pPr>
              <w:spacing w:after="0" w:line="240" w:lineRule="auto"/>
              <w:rPr>
                <w:rFonts w:ascii="Calibri Light" w:eastAsia="Times New Roman" w:hAnsi="Calibri Light" w:cs="Times New Roman"/>
                <w:b/>
                <w:bCs/>
                <w:color w:val="000000"/>
              </w:rPr>
            </w:pPr>
            <w:r w:rsidRPr="00BA79B3">
              <w:rPr>
                <w:rFonts w:ascii="Calibri Light" w:eastAsia="Times New Roman" w:hAnsi="Calibri Light" w:cs="Times New Roman"/>
                <w:b/>
                <w:bCs/>
                <w:color w:val="000000"/>
              </w:rPr>
              <w:t xml:space="preserve">Employment and Income </w:t>
            </w:r>
          </w:p>
        </w:tc>
        <w:tc>
          <w:tcPr>
            <w:tcW w:w="1555" w:type="dxa"/>
            <w:tcBorders>
              <w:top w:val="nil"/>
              <w:left w:val="nil"/>
              <w:bottom w:val="single" w:sz="4" w:space="0" w:color="auto"/>
              <w:right w:val="single" w:sz="8" w:space="0" w:color="000000"/>
            </w:tcBorders>
            <w:shd w:val="clear" w:color="000000" w:fill="B4C6E7"/>
            <w:noWrap/>
            <w:vAlign w:val="center"/>
            <w:hideMark/>
          </w:tcPr>
          <w:p w:rsidR="00BA79B3" w:rsidRPr="00BA79B3" w:rsidRDefault="00155865" w:rsidP="00BA79B3">
            <w:pPr>
              <w:spacing w:after="0" w:line="240" w:lineRule="auto"/>
              <w:jc w:val="center"/>
              <w:rPr>
                <w:rFonts w:ascii="Calibri Light" w:eastAsia="Times New Roman" w:hAnsi="Calibri Light" w:cs="Times New Roman"/>
                <w:b/>
                <w:bCs/>
                <w:color w:val="000000"/>
                <w:sz w:val="20"/>
                <w:szCs w:val="20"/>
              </w:rPr>
            </w:pPr>
            <w:r>
              <w:rPr>
                <w:rFonts w:ascii="Calibri Light" w:eastAsia="Times New Roman" w:hAnsi="Calibri Light" w:cs="Times New Roman"/>
                <w:b/>
                <w:bCs/>
                <w:color w:val="000000"/>
                <w:sz w:val="20"/>
                <w:szCs w:val="20"/>
              </w:rPr>
              <w:t>Up to 10</w:t>
            </w:r>
            <w:r w:rsidR="00BA79B3" w:rsidRPr="00BA79B3">
              <w:rPr>
                <w:rFonts w:ascii="Calibri Light" w:eastAsia="Times New Roman" w:hAnsi="Calibri Light" w:cs="Times New Roman"/>
                <w:b/>
                <w:bCs/>
                <w:color w:val="000000"/>
                <w:sz w:val="20"/>
                <w:szCs w:val="20"/>
              </w:rPr>
              <w:t xml:space="preserve"> points </w:t>
            </w:r>
          </w:p>
        </w:tc>
      </w:tr>
      <w:tr w:rsidR="00BA79B3" w:rsidRPr="00BA79B3" w:rsidTr="0052330B">
        <w:trPr>
          <w:trHeight w:val="257"/>
        </w:trPr>
        <w:tc>
          <w:tcPr>
            <w:tcW w:w="919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A79B3" w:rsidRPr="00BA79B3" w:rsidRDefault="00BA79B3" w:rsidP="00BA79B3">
            <w:pPr>
              <w:spacing w:after="0" w:line="240" w:lineRule="auto"/>
              <w:rPr>
                <w:rFonts w:ascii="Calibri Light" w:eastAsia="Times New Roman" w:hAnsi="Calibri Light" w:cs="Times New Roman"/>
                <w:color w:val="000000"/>
              </w:rPr>
            </w:pPr>
            <w:r w:rsidRPr="00BA79B3">
              <w:rPr>
                <w:rFonts w:ascii="Calibri Light" w:eastAsia="Times New Roman" w:hAnsi="Calibri Light" w:cs="Times New Roman"/>
                <w:color w:val="000000"/>
              </w:rPr>
              <w:t xml:space="preserve">20% of program participants obtained employment income </w:t>
            </w:r>
          </w:p>
        </w:tc>
        <w:tc>
          <w:tcPr>
            <w:tcW w:w="1555" w:type="dxa"/>
            <w:tcBorders>
              <w:top w:val="single" w:sz="4" w:space="0" w:color="auto"/>
              <w:left w:val="nil"/>
              <w:bottom w:val="single" w:sz="4" w:space="0" w:color="auto"/>
              <w:right w:val="single" w:sz="8" w:space="0" w:color="000000"/>
            </w:tcBorders>
            <w:shd w:val="clear" w:color="auto" w:fill="auto"/>
            <w:noWrap/>
            <w:vAlign w:val="center"/>
            <w:hideMark/>
          </w:tcPr>
          <w:p w:rsidR="00BA79B3" w:rsidRPr="00BA79B3" w:rsidRDefault="00155865" w:rsidP="00BA79B3">
            <w:pPr>
              <w:spacing w:after="0" w:line="240" w:lineRule="auto"/>
              <w:jc w:val="center"/>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5</w:t>
            </w:r>
          </w:p>
        </w:tc>
      </w:tr>
      <w:tr w:rsidR="00BA79B3" w:rsidRPr="00BA79B3" w:rsidTr="0052330B">
        <w:trPr>
          <w:trHeight w:val="270"/>
        </w:trPr>
        <w:tc>
          <w:tcPr>
            <w:tcW w:w="919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A79B3" w:rsidRPr="00BA79B3" w:rsidRDefault="00BA79B3" w:rsidP="00BA79B3">
            <w:pPr>
              <w:spacing w:after="0" w:line="240" w:lineRule="auto"/>
              <w:rPr>
                <w:rFonts w:ascii="Calibri Light" w:eastAsia="Times New Roman" w:hAnsi="Calibri Light" w:cs="Times New Roman"/>
                <w:color w:val="000000"/>
              </w:rPr>
            </w:pPr>
            <w:r w:rsidRPr="00BA79B3">
              <w:rPr>
                <w:rFonts w:ascii="Calibri Light" w:eastAsia="Times New Roman" w:hAnsi="Calibri Light" w:cs="Times New Roman"/>
                <w:color w:val="000000"/>
              </w:rPr>
              <w:t xml:space="preserve">20% of program participants obtained other income </w:t>
            </w:r>
          </w:p>
        </w:tc>
        <w:tc>
          <w:tcPr>
            <w:tcW w:w="1555" w:type="dxa"/>
            <w:tcBorders>
              <w:top w:val="single" w:sz="4" w:space="0" w:color="auto"/>
              <w:left w:val="nil"/>
              <w:bottom w:val="single" w:sz="4" w:space="0" w:color="auto"/>
              <w:right w:val="single" w:sz="8" w:space="0" w:color="000000"/>
            </w:tcBorders>
            <w:shd w:val="clear" w:color="auto" w:fill="auto"/>
            <w:noWrap/>
            <w:vAlign w:val="center"/>
            <w:hideMark/>
          </w:tcPr>
          <w:p w:rsidR="00BA79B3" w:rsidRPr="00BA79B3" w:rsidRDefault="00155865" w:rsidP="00BA79B3">
            <w:pPr>
              <w:spacing w:after="0" w:line="240" w:lineRule="auto"/>
              <w:jc w:val="center"/>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5</w:t>
            </w:r>
          </w:p>
        </w:tc>
      </w:tr>
      <w:tr w:rsidR="00BA79B3" w:rsidRPr="00BA79B3" w:rsidTr="0052330B">
        <w:trPr>
          <w:trHeight w:val="257"/>
        </w:trPr>
        <w:tc>
          <w:tcPr>
            <w:tcW w:w="9194" w:type="dxa"/>
            <w:tcBorders>
              <w:top w:val="single" w:sz="4" w:space="0" w:color="auto"/>
              <w:left w:val="single" w:sz="8" w:space="0" w:color="auto"/>
              <w:bottom w:val="single" w:sz="4" w:space="0" w:color="auto"/>
              <w:right w:val="single" w:sz="8" w:space="0" w:color="000000"/>
            </w:tcBorders>
            <w:shd w:val="clear" w:color="000000" w:fill="B4C6E7"/>
            <w:noWrap/>
            <w:vAlign w:val="bottom"/>
            <w:hideMark/>
          </w:tcPr>
          <w:p w:rsidR="00BA79B3" w:rsidRPr="00BA79B3" w:rsidRDefault="00BA79B3" w:rsidP="00BA79B3">
            <w:pPr>
              <w:spacing w:after="0" w:line="240" w:lineRule="auto"/>
              <w:rPr>
                <w:rFonts w:ascii="Calibri Light" w:eastAsia="Times New Roman" w:hAnsi="Calibri Light" w:cs="Times New Roman"/>
                <w:b/>
                <w:bCs/>
                <w:color w:val="000000"/>
              </w:rPr>
            </w:pPr>
            <w:r w:rsidRPr="00BA79B3">
              <w:rPr>
                <w:rFonts w:ascii="Calibri Light" w:eastAsia="Times New Roman" w:hAnsi="Calibri Light" w:cs="Times New Roman"/>
                <w:b/>
                <w:bCs/>
                <w:color w:val="000000"/>
              </w:rPr>
              <w:t xml:space="preserve">Access to Mainstream Resources </w:t>
            </w:r>
          </w:p>
        </w:tc>
        <w:tc>
          <w:tcPr>
            <w:tcW w:w="1555" w:type="dxa"/>
            <w:tcBorders>
              <w:top w:val="single" w:sz="8" w:space="0" w:color="auto"/>
              <w:left w:val="nil"/>
              <w:bottom w:val="single" w:sz="4" w:space="0" w:color="auto"/>
              <w:right w:val="single" w:sz="8" w:space="0" w:color="000000"/>
            </w:tcBorders>
            <w:shd w:val="clear" w:color="000000" w:fill="B4C6E7"/>
            <w:noWrap/>
            <w:vAlign w:val="center"/>
            <w:hideMark/>
          </w:tcPr>
          <w:p w:rsidR="00BA79B3" w:rsidRPr="00BA79B3" w:rsidRDefault="00BA79B3" w:rsidP="00BA79B3">
            <w:pPr>
              <w:spacing w:after="0" w:line="240" w:lineRule="auto"/>
              <w:jc w:val="center"/>
              <w:rPr>
                <w:rFonts w:ascii="Calibri Light" w:eastAsia="Times New Roman" w:hAnsi="Calibri Light" w:cs="Times New Roman"/>
                <w:b/>
                <w:bCs/>
                <w:color w:val="000000"/>
                <w:sz w:val="20"/>
                <w:szCs w:val="20"/>
              </w:rPr>
            </w:pPr>
            <w:r w:rsidRPr="00BA79B3">
              <w:rPr>
                <w:rFonts w:ascii="Calibri Light" w:eastAsia="Times New Roman" w:hAnsi="Calibri Light" w:cs="Times New Roman"/>
                <w:b/>
                <w:bCs/>
                <w:color w:val="000000"/>
                <w:sz w:val="20"/>
                <w:szCs w:val="20"/>
              </w:rPr>
              <w:t xml:space="preserve">Up </w:t>
            </w:r>
            <w:r w:rsidR="00155865">
              <w:rPr>
                <w:rFonts w:ascii="Calibri Light" w:eastAsia="Times New Roman" w:hAnsi="Calibri Light" w:cs="Times New Roman"/>
                <w:b/>
                <w:bCs/>
                <w:color w:val="000000"/>
                <w:sz w:val="20"/>
                <w:szCs w:val="20"/>
              </w:rPr>
              <w:t>to 10</w:t>
            </w:r>
            <w:r w:rsidRPr="00BA79B3">
              <w:rPr>
                <w:rFonts w:ascii="Calibri Light" w:eastAsia="Times New Roman" w:hAnsi="Calibri Light" w:cs="Times New Roman"/>
                <w:b/>
                <w:bCs/>
                <w:color w:val="000000"/>
                <w:sz w:val="20"/>
                <w:szCs w:val="20"/>
              </w:rPr>
              <w:t xml:space="preserve"> points</w:t>
            </w:r>
          </w:p>
        </w:tc>
      </w:tr>
      <w:tr w:rsidR="00BA79B3" w:rsidRPr="00BA79B3" w:rsidTr="0052330B">
        <w:trPr>
          <w:trHeight w:val="257"/>
        </w:trPr>
        <w:tc>
          <w:tcPr>
            <w:tcW w:w="919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A79B3" w:rsidRPr="00BA79B3" w:rsidRDefault="00BA79B3" w:rsidP="00BA79B3">
            <w:pPr>
              <w:spacing w:after="0" w:line="240" w:lineRule="auto"/>
              <w:rPr>
                <w:rFonts w:ascii="Calibri" w:eastAsia="Times New Roman" w:hAnsi="Calibri" w:cs="Times New Roman"/>
                <w:color w:val="000000"/>
              </w:rPr>
            </w:pPr>
            <w:r w:rsidRPr="00BA79B3">
              <w:rPr>
                <w:rFonts w:ascii="Calibri" w:eastAsia="Times New Roman" w:hAnsi="Calibri" w:cs="Times New Roman"/>
                <w:color w:val="000000"/>
              </w:rPr>
              <w:t xml:space="preserve">55% of participants obtained mainstream benefits at program exit </w:t>
            </w:r>
          </w:p>
        </w:tc>
        <w:tc>
          <w:tcPr>
            <w:tcW w:w="1555" w:type="dxa"/>
            <w:tcBorders>
              <w:top w:val="single" w:sz="4" w:space="0" w:color="auto"/>
              <w:left w:val="nil"/>
              <w:bottom w:val="single" w:sz="4" w:space="0" w:color="auto"/>
              <w:right w:val="single" w:sz="8" w:space="0" w:color="000000"/>
            </w:tcBorders>
            <w:shd w:val="clear" w:color="000000" w:fill="FFFFFF"/>
            <w:noWrap/>
            <w:vAlign w:val="center"/>
            <w:hideMark/>
          </w:tcPr>
          <w:p w:rsidR="00BA79B3" w:rsidRPr="00BA79B3" w:rsidRDefault="00155865" w:rsidP="00BA79B3">
            <w:pPr>
              <w:spacing w:after="0" w:line="240" w:lineRule="auto"/>
              <w:jc w:val="center"/>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10</w:t>
            </w:r>
          </w:p>
        </w:tc>
      </w:tr>
      <w:tr w:rsidR="00BA79B3" w:rsidRPr="00BA79B3" w:rsidTr="0052330B">
        <w:trPr>
          <w:trHeight w:val="257"/>
        </w:trPr>
        <w:tc>
          <w:tcPr>
            <w:tcW w:w="919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A79B3" w:rsidRPr="00BA79B3" w:rsidRDefault="00BA79B3" w:rsidP="00BA79B3">
            <w:pPr>
              <w:spacing w:after="0" w:line="240" w:lineRule="auto"/>
              <w:rPr>
                <w:rFonts w:ascii="Calibri" w:eastAsia="Times New Roman" w:hAnsi="Calibri" w:cs="Times New Roman"/>
                <w:color w:val="000000"/>
              </w:rPr>
            </w:pPr>
            <w:r w:rsidRPr="00BA79B3">
              <w:rPr>
                <w:rFonts w:ascii="Calibri" w:eastAsia="Times New Roman" w:hAnsi="Calibri" w:cs="Times New Roman"/>
                <w:color w:val="000000"/>
              </w:rPr>
              <w:t xml:space="preserve">20% of participants obtained mainstream benefits at program exit </w:t>
            </w:r>
          </w:p>
        </w:tc>
        <w:tc>
          <w:tcPr>
            <w:tcW w:w="1555" w:type="dxa"/>
            <w:tcBorders>
              <w:top w:val="single" w:sz="4" w:space="0" w:color="auto"/>
              <w:left w:val="nil"/>
              <w:bottom w:val="single" w:sz="4" w:space="0" w:color="auto"/>
              <w:right w:val="single" w:sz="8" w:space="0" w:color="000000"/>
            </w:tcBorders>
            <w:shd w:val="clear" w:color="000000" w:fill="FFFFFF"/>
            <w:noWrap/>
            <w:vAlign w:val="center"/>
            <w:hideMark/>
          </w:tcPr>
          <w:p w:rsidR="00BA79B3" w:rsidRPr="00BA79B3" w:rsidRDefault="00155865" w:rsidP="00BA79B3">
            <w:pPr>
              <w:spacing w:after="0" w:line="240" w:lineRule="auto"/>
              <w:jc w:val="center"/>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5</w:t>
            </w:r>
          </w:p>
        </w:tc>
      </w:tr>
      <w:tr w:rsidR="00BA79B3" w:rsidRPr="00BA79B3" w:rsidTr="0052330B">
        <w:trPr>
          <w:trHeight w:val="257"/>
        </w:trPr>
        <w:tc>
          <w:tcPr>
            <w:tcW w:w="9194" w:type="dxa"/>
            <w:tcBorders>
              <w:top w:val="single" w:sz="4" w:space="0" w:color="auto"/>
              <w:left w:val="single" w:sz="8" w:space="0" w:color="auto"/>
              <w:bottom w:val="single" w:sz="4" w:space="0" w:color="auto"/>
              <w:right w:val="single" w:sz="8" w:space="0" w:color="000000"/>
            </w:tcBorders>
            <w:shd w:val="clear" w:color="000000" w:fill="B4C6E7"/>
            <w:noWrap/>
            <w:vAlign w:val="bottom"/>
            <w:hideMark/>
          </w:tcPr>
          <w:p w:rsidR="00BA79B3" w:rsidRPr="00BA79B3" w:rsidRDefault="00BA79B3" w:rsidP="00BA79B3">
            <w:pPr>
              <w:spacing w:after="0" w:line="240" w:lineRule="auto"/>
              <w:rPr>
                <w:rFonts w:ascii="Calibri Light" w:eastAsia="Times New Roman" w:hAnsi="Calibri Light" w:cs="Times New Roman"/>
                <w:b/>
                <w:bCs/>
                <w:color w:val="000000"/>
              </w:rPr>
            </w:pPr>
            <w:r w:rsidRPr="00BA79B3">
              <w:rPr>
                <w:rFonts w:ascii="Calibri Light" w:eastAsia="Times New Roman" w:hAnsi="Calibri Light" w:cs="Times New Roman"/>
                <w:b/>
                <w:bCs/>
                <w:color w:val="000000"/>
              </w:rPr>
              <w:t xml:space="preserve">Transitional to Permanent Housing (for TH only) </w:t>
            </w:r>
          </w:p>
        </w:tc>
        <w:tc>
          <w:tcPr>
            <w:tcW w:w="1555" w:type="dxa"/>
            <w:tcBorders>
              <w:top w:val="single" w:sz="8" w:space="0" w:color="auto"/>
              <w:left w:val="nil"/>
              <w:bottom w:val="single" w:sz="4" w:space="0" w:color="auto"/>
              <w:right w:val="single" w:sz="8" w:space="0" w:color="000000"/>
            </w:tcBorders>
            <w:shd w:val="clear" w:color="000000" w:fill="B4C6E7"/>
            <w:noWrap/>
            <w:vAlign w:val="center"/>
            <w:hideMark/>
          </w:tcPr>
          <w:p w:rsidR="00BA79B3" w:rsidRPr="00BA79B3" w:rsidRDefault="00155865" w:rsidP="00155865">
            <w:pPr>
              <w:spacing w:after="0" w:line="240" w:lineRule="auto"/>
              <w:jc w:val="center"/>
              <w:rPr>
                <w:rFonts w:ascii="Calibri Light" w:eastAsia="Times New Roman" w:hAnsi="Calibri Light" w:cs="Times New Roman"/>
                <w:b/>
                <w:bCs/>
                <w:color w:val="000000"/>
                <w:sz w:val="20"/>
                <w:szCs w:val="20"/>
              </w:rPr>
            </w:pPr>
            <w:r>
              <w:rPr>
                <w:rFonts w:ascii="Calibri Light" w:eastAsia="Times New Roman" w:hAnsi="Calibri Light" w:cs="Times New Roman"/>
                <w:b/>
                <w:bCs/>
                <w:color w:val="000000"/>
                <w:sz w:val="20"/>
                <w:szCs w:val="20"/>
              </w:rPr>
              <w:t xml:space="preserve">Up to 20 </w:t>
            </w:r>
            <w:r w:rsidR="00BA79B3" w:rsidRPr="00BA79B3">
              <w:rPr>
                <w:rFonts w:ascii="Calibri Light" w:eastAsia="Times New Roman" w:hAnsi="Calibri Light" w:cs="Times New Roman"/>
                <w:b/>
                <w:bCs/>
                <w:color w:val="000000"/>
                <w:sz w:val="20"/>
                <w:szCs w:val="20"/>
              </w:rPr>
              <w:t xml:space="preserve">points </w:t>
            </w:r>
          </w:p>
        </w:tc>
      </w:tr>
      <w:tr w:rsidR="00BA79B3" w:rsidRPr="00BA79B3" w:rsidTr="0052330B">
        <w:trPr>
          <w:trHeight w:val="257"/>
        </w:trPr>
        <w:tc>
          <w:tcPr>
            <w:tcW w:w="919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A79B3" w:rsidRPr="00BA79B3" w:rsidRDefault="00BA79B3" w:rsidP="00BA79B3">
            <w:pPr>
              <w:spacing w:after="0" w:line="240" w:lineRule="auto"/>
              <w:rPr>
                <w:rFonts w:ascii="Calibri" w:eastAsia="Times New Roman" w:hAnsi="Calibri" w:cs="Times New Roman"/>
                <w:color w:val="000000"/>
              </w:rPr>
            </w:pPr>
            <w:r w:rsidRPr="00BA79B3">
              <w:rPr>
                <w:rFonts w:ascii="Calibri" w:eastAsia="Times New Roman" w:hAnsi="Calibri" w:cs="Times New Roman"/>
                <w:color w:val="000000"/>
              </w:rPr>
              <w:t xml:space="preserve">80% of </w:t>
            </w:r>
            <w:r w:rsidR="0052330B" w:rsidRPr="00BA79B3">
              <w:rPr>
                <w:rFonts w:ascii="Calibri" w:eastAsia="Times New Roman" w:hAnsi="Calibri" w:cs="Times New Roman"/>
                <w:color w:val="000000"/>
              </w:rPr>
              <w:t>transitional</w:t>
            </w:r>
            <w:r w:rsidRPr="00BA79B3">
              <w:rPr>
                <w:rFonts w:ascii="Calibri" w:eastAsia="Times New Roman" w:hAnsi="Calibri" w:cs="Times New Roman"/>
                <w:color w:val="000000"/>
              </w:rPr>
              <w:t xml:space="preserve"> housing participants moved to permanent housing </w:t>
            </w:r>
          </w:p>
        </w:tc>
        <w:tc>
          <w:tcPr>
            <w:tcW w:w="1555" w:type="dxa"/>
            <w:tcBorders>
              <w:top w:val="single" w:sz="4" w:space="0" w:color="auto"/>
              <w:left w:val="nil"/>
              <w:bottom w:val="single" w:sz="4" w:space="0" w:color="auto"/>
              <w:right w:val="single" w:sz="8" w:space="0" w:color="000000"/>
            </w:tcBorders>
            <w:shd w:val="clear" w:color="000000" w:fill="FFFFFF"/>
            <w:noWrap/>
            <w:vAlign w:val="center"/>
            <w:hideMark/>
          </w:tcPr>
          <w:p w:rsidR="00BA79B3" w:rsidRPr="00BA79B3" w:rsidRDefault="00155865" w:rsidP="00BA79B3">
            <w:pPr>
              <w:spacing w:after="0" w:line="240" w:lineRule="auto"/>
              <w:jc w:val="center"/>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10</w:t>
            </w:r>
          </w:p>
        </w:tc>
      </w:tr>
      <w:tr w:rsidR="00155865" w:rsidRPr="00BA79B3" w:rsidTr="0052330B">
        <w:trPr>
          <w:trHeight w:val="257"/>
        </w:trPr>
        <w:tc>
          <w:tcPr>
            <w:tcW w:w="9194" w:type="dxa"/>
            <w:tcBorders>
              <w:top w:val="single" w:sz="4" w:space="0" w:color="auto"/>
              <w:left w:val="single" w:sz="8" w:space="0" w:color="auto"/>
              <w:bottom w:val="single" w:sz="4" w:space="0" w:color="auto"/>
              <w:right w:val="single" w:sz="8" w:space="0" w:color="000000"/>
            </w:tcBorders>
            <w:shd w:val="clear" w:color="auto" w:fill="auto"/>
            <w:noWrap/>
            <w:vAlign w:val="bottom"/>
          </w:tcPr>
          <w:p w:rsidR="00155865" w:rsidRPr="00BA79B3" w:rsidRDefault="00155865" w:rsidP="00BA79B3">
            <w:pPr>
              <w:spacing w:after="0" w:line="240" w:lineRule="auto"/>
              <w:rPr>
                <w:rFonts w:ascii="Calibri" w:eastAsia="Times New Roman" w:hAnsi="Calibri" w:cs="Times New Roman"/>
                <w:color w:val="000000"/>
              </w:rPr>
            </w:pPr>
            <w:r w:rsidRPr="00155865">
              <w:rPr>
                <w:rFonts w:ascii="Calibri" w:eastAsia="Times New Roman" w:hAnsi="Calibri" w:cs="Times New Roman"/>
                <w:color w:val="000000"/>
              </w:rPr>
              <w:t>65% of transitional housing participants moved to permanent housing</w:t>
            </w:r>
          </w:p>
        </w:tc>
        <w:tc>
          <w:tcPr>
            <w:tcW w:w="1555" w:type="dxa"/>
            <w:tcBorders>
              <w:top w:val="single" w:sz="4" w:space="0" w:color="auto"/>
              <w:left w:val="nil"/>
              <w:bottom w:val="single" w:sz="4" w:space="0" w:color="auto"/>
              <w:right w:val="single" w:sz="8" w:space="0" w:color="000000"/>
            </w:tcBorders>
            <w:shd w:val="clear" w:color="000000" w:fill="FFFFFF"/>
            <w:noWrap/>
            <w:vAlign w:val="center"/>
          </w:tcPr>
          <w:p w:rsidR="00155865" w:rsidRDefault="00155865" w:rsidP="00BA79B3">
            <w:pPr>
              <w:spacing w:after="0" w:line="240" w:lineRule="auto"/>
              <w:jc w:val="center"/>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5</w:t>
            </w:r>
          </w:p>
        </w:tc>
      </w:tr>
      <w:tr w:rsidR="00BA79B3" w:rsidRPr="00BA79B3" w:rsidTr="0052330B">
        <w:trPr>
          <w:trHeight w:val="257"/>
        </w:trPr>
        <w:tc>
          <w:tcPr>
            <w:tcW w:w="919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A79B3" w:rsidRPr="00BA79B3" w:rsidRDefault="00155865" w:rsidP="00155865">
            <w:pPr>
              <w:spacing w:after="0" w:line="240" w:lineRule="auto"/>
              <w:rPr>
                <w:rFonts w:ascii="Calibri" w:eastAsia="Times New Roman" w:hAnsi="Calibri" w:cs="Times New Roman"/>
                <w:color w:val="000000"/>
              </w:rPr>
            </w:pPr>
            <w:r>
              <w:rPr>
                <w:rFonts w:ascii="Calibri" w:eastAsia="Times New Roman" w:hAnsi="Calibri" w:cs="Times New Roman"/>
                <w:color w:val="000000"/>
              </w:rPr>
              <w:t>Program served the number of clients indicated in the grant agreement</w:t>
            </w:r>
          </w:p>
        </w:tc>
        <w:tc>
          <w:tcPr>
            <w:tcW w:w="1555" w:type="dxa"/>
            <w:tcBorders>
              <w:top w:val="single" w:sz="4" w:space="0" w:color="auto"/>
              <w:left w:val="nil"/>
              <w:bottom w:val="single" w:sz="4" w:space="0" w:color="auto"/>
              <w:right w:val="single" w:sz="8" w:space="0" w:color="000000"/>
            </w:tcBorders>
            <w:shd w:val="clear" w:color="000000" w:fill="FFFFFF"/>
            <w:noWrap/>
            <w:vAlign w:val="center"/>
            <w:hideMark/>
          </w:tcPr>
          <w:p w:rsidR="00BA79B3" w:rsidRPr="00BA79B3" w:rsidRDefault="00155865" w:rsidP="00BA79B3">
            <w:pPr>
              <w:spacing w:after="0" w:line="240" w:lineRule="auto"/>
              <w:jc w:val="center"/>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10</w:t>
            </w:r>
          </w:p>
        </w:tc>
      </w:tr>
      <w:tr w:rsidR="00BA79B3" w:rsidRPr="00BA79B3" w:rsidTr="0052330B">
        <w:trPr>
          <w:trHeight w:val="270"/>
        </w:trPr>
        <w:tc>
          <w:tcPr>
            <w:tcW w:w="919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A79B3" w:rsidRPr="00BA79B3" w:rsidRDefault="00BA79B3" w:rsidP="00BA79B3">
            <w:pPr>
              <w:spacing w:after="0" w:line="240" w:lineRule="auto"/>
              <w:jc w:val="center"/>
              <w:rPr>
                <w:rFonts w:ascii="Calibri Light" w:eastAsia="Times New Roman" w:hAnsi="Calibri Light" w:cs="Times New Roman"/>
                <w:b/>
                <w:bCs/>
                <w:color w:val="000000"/>
              </w:rPr>
            </w:pPr>
            <w:r w:rsidRPr="005855E7">
              <w:rPr>
                <w:rFonts w:ascii="Calibri Light" w:eastAsia="Times New Roman" w:hAnsi="Calibri Light" w:cs="Times New Roman"/>
                <w:b/>
                <w:bCs/>
                <w:color w:val="FF0000"/>
              </w:rPr>
              <w:t>OR</w:t>
            </w:r>
          </w:p>
        </w:tc>
        <w:tc>
          <w:tcPr>
            <w:tcW w:w="1555" w:type="dxa"/>
            <w:tcBorders>
              <w:top w:val="single" w:sz="4" w:space="0" w:color="auto"/>
              <w:left w:val="nil"/>
              <w:bottom w:val="single" w:sz="4" w:space="0" w:color="auto"/>
              <w:right w:val="single" w:sz="8" w:space="0" w:color="000000"/>
            </w:tcBorders>
            <w:shd w:val="clear" w:color="000000" w:fill="FFFFFF"/>
            <w:noWrap/>
            <w:vAlign w:val="center"/>
            <w:hideMark/>
          </w:tcPr>
          <w:p w:rsidR="00BA79B3" w:rsidRPr="00BA79B3" w:rsidRDefault="00BA79B3" w:rsidP="00BA79B3">
            <w:pPr>
              <w:spacing w:after="0" w:line="240" w:lineRule="auto"/>
              <w:jc w:val="center"/>
              <w:rPr>
                <w:rFonts w:ascii="Calibri Light" w:eastAsia="Times New Roman" w:hAnsi="Calibri Light" w:cs="Times New Roman"/>
                <w:color w:val="000000"/>
                <w:sz w:val="20"/>
                <w:szCs w:val="20"/>
              </w:rPr>
            </w:pPr>
            <w:r w:rsidRPr="00BA79B3">
              <w:rPr>
                <w:rFonts w:ascii="Calibri Light" w:eastAsia="Times New Roman" w:hAnsi="Calibri Light" w:cs="Times New Roman"/>
                <w:color w:val="000000"/>
                <w:sz w:val="20"/>
                <w:szCs w:val="20"/>
              </w:rPr>
              <w:t> </w:t>
            </w:r>
          </w:p>
        </w:tc>
      </w:tr>
      <w:tr w:rsidR="00BA79B3" w:rsidRPr="00BA79B3" w:rsidTr="0052330B">
        <w:trPr>
          <w:trHeight w:val="257"/>
        </w:trPr>
        <w:tc>
          <w:tcPr>
            <w:tcW w:w="9194" w:type="dxa"/>
            <w:tcBorders>
              <w:top w:val="single" w:sz="4" w:space="0" w:color="auto"/>
              <w:left w:val="single" w:sz="8" w:space="0" w:color="auto"/>
              <w:bottom w:val="nil"/>
              <w:right w:val="single" w:sz="8" w:space="0" w:color="000000"/>
            </w:tcBorders>
            <w:shd w:val="clear" w:color="000000" w:fill="B4C6E7"/>
            <w:noWrap/>
            <w:vAlign w:val="bottom"/>
            <w:hideMark/>
          </w:tcPr>
          <w:p w:rsidR="00BA79B3" w:rsidRPr="00BA79B3" w:rsidRDefault="00BA79B3" w:rsidP="00BA79B3">
            <w:pPr>
              <w:spacing w:after="0" w:line="240" w:lineRule="auto"/>
              <w:rPr>
                <w:rFonts w:ascii="Calibri Light" w:eastAsia="Times New Roman" w:hAnsi="Calibri Light" w:cs="Times New Roman"/>
                <w:b/>
                <w:bCs/>
                <w:color w:val="000000"/>
              </w:rPr>
            </w:pPr>
            <w:r w:rsidRPr="00BA79B3">
              <w:rPr>
                <w:rFonts w:ascii="Calibri Light" w:eastAsia="Times New Roman" w:hAnsi="Calibri Light" w:cs="Times New Roman"/>
                <w:b/>
                <w:bCs/>
                <w:color w:val="000000"/>
              </w:rPr>
              <w:t>Participants remaining in Permanent Housing (For PH only)</w:t>
            </w:r>
          </w:p>
        </w:tc>
        <w:tc>
          <w:tcPr>
            <w:tcW w:w="1555" w:type="dxa"/>
            <w:tcBorders>
              <w:top w:val="single" w:sz="8" w:space="0" w:color="auto"/>
              <w:left w:val="nil"/>
              <w:bottom w:val="single" w:sz="4" w:space="0" w:color="auto"/>
              <w:right w:val="single" w:sz="8" w:space="0" w:color="000000"/>
            </w:tcBorders>
            <w:shd w:val="clear" w:color="000000" w:fill="B4C6E7"/>
            <w:noWrap/>
            <w:vAlign w:val="center"/>
            <w:hideMark/>
          </w:tcPr>
          <w:p w:rsidR="00BA79B3" w:rsidRPr="00BA79B3" w:rsidRDefault="00155865" w:rsidP="00BA79B3">
            <w:pPr>
              <w:spacing w:after="0" w:line="240" w:lineRule="auto"/>
              <w:jc w:val="center"/>
              <w:rPr>
                <w:rFonts w:ascii="Calibri Light" w:eastAsia="Times New Roman" w:hAnsi="Calibri Light" w:cs="Times New Roman"/>
                <w:b/>
                <w:bCs/>
                <w:color w:val="000000"/>
                <w:sz w:val="20"/>
                <w:szCs w:val="20"/>
              </w:rPr>
            </w:pPr>
            <w:r>
              <w:rPr>
                <w:rFonts w:ascii="Calibri Light" w:eastAsia="Times New Roman" w:hAnsi="Calibri Light" w:cs="Times New Roman"/>
                <w:b/>
                <w:bCs/>
                <w:color w:val="000000"/>
                <w:sz w:val="20"/>
                <w:szCs w:val="20"/>
              </w:rPr>
              <w:t>Up to 20</w:t>
            </w:r>
            <w:r w:rsidR="00BA79B3" w:rsidRPr="00BA79B3">
              <w:rPr>
                <w:rFonts w:ascii="Calibri Light" w:eastAsia="Times New Roman" w:hAnsi="Calibri Light" w:cs="Times New Roman"/>
                <w:b/>
                <w:bCs/>
                <w:color w:val="000000"/>
                <w:sz w:val="20"/>
                <w:szCs w:val="20"/>
              </w:rPr>
              <w:t xml:space="preserve"> points </w:t>
            </w:r>
          </w:p>
        </w:tc>
      </w:tr>
      <w:tr w:rsidR="00BA79B3" w:rsidRPr="00BA79B3" w:rsidTr="0052330B">
        <w:trPr>
          <w:trHeight w:val="257"/>
        </w:trPr>
        <w:tc>
          <w:tcPr>
            <w:tcW w:w="919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A79B3" w:rsidRPr="00BA79B3" w:rsidRDefault="00BA79B3" w:rsidP="00BA79B3">
            <w:pPr>
              <w:spacing w:after="0" w:line="240" w:lineRule="auto"/>
              <w:rPr>
                <w:rFonts w:ascii="Calibri" w:eastAsia="Times New Roman" w:hAnsi="Calibri" w:cs="Times New Roman"/>
                <w:color w:val="000000"/>
              </w:rPr>
            </w:pPr>
            <w:r w:rsidRPr="00BA79B3">
              <w:rPr>
                <w:rFonts w:ascii="Calibri" w:eastAsia="Times New Roman" w:hAnsi="Calibri" w:cs="Times New Roman"/>
                <w:color w:val="000000"/>
              </w:rPr>
              <w:t>80% of permanent housing participants remained in permanent housing for 6 months or longer</w:t>
            </w:r>
          </w:p>
        </w:tc>
        <w:tc>
          <w:tcPr>
            <w:tcW w:w="1555" w:type="dxa"/>
            <w:tcBorders>
              <w:top w:val="single" w:sz="4" w:space="0" w:color="auto"/>
              <w:left w:val="nil"/>
              <w:bottom w:val="single" w:sz="4" w:space="0" w:color="auto"/>
              <w:right w:val="single" w:sz="8" w:space="0" w:color="000000"/>
            </w:tcBorders>
            <w:shd w:val="clear" w:color="000000" w:fill="FFFFFF"/>
            <w:noWrap/>
            <w:vAlign w:val="center"/>
            <w:hideMark/>
          </w:tcPr>
          <w:p w:rsidR="00BA79B3" w:rsidRPr="00BA79B3" w:rsidRDefault="00155865" w:rsidP="00BA79B3">
            <w:pPr>
              <w:spacing w:after="0" w:line="240" w:lineRule="auto"/>
              <w:jc w:val="center"/>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10</w:t>
            </w:r>
          </w:p>
        </w:tc>
      </w:tr>
      <w:tr w:rsidR="00BA79B3" w:rsidRPr="00BA79B3" w:rsidTr="0052330B">
        <w:trPr>
          <w:trHeight w:val="257"/>
        </w:trPr>
        <w:tc>
          <w:tcPr>
            <w:tcW w:w="919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A79B3" w:rsidRPr="00BA79B3" w:rsidRDefault="00BA79B3" w:rsidP="00BA79B3">
            <w:pPr>
              <w:spacing w:after="0" w:line="240" w:lineRule="auto"/>
              <w:rPr>
                <w:rFonts w:ascii="Calibri" w:eastAsia="Times New Roman" w:hAnsi="Calibri" w:cs="Times New Roman"/>
                <w:color w:val="000000"/>
              </w:rPr>
            </w:pPr>
            <w:r w:rsidRPr="00BA79B3">
              <w:rPr>
                <w:rFonts w:ascii="Calibri" w:eastAsia="Times New Roman" w:hAnsi="Calibri" w:cs="Times New Roman"/>
                <w:color w:val="000000"/>
              </w:rPr>
              <w:t>65% of permanent housing participants remained in permanent housing for 6 months or longer</w:t>
            </w:r>
          </w:p>
        </w:tc>
        <w:tc>
          <w:tcPr>
            <w:tcW w:w="1555" w:type="dxa"/>
            <w:tcBorders>
              <w:top w:val="single" w:sz="4" w:space="0" w:color="auto"/>
              <w:left w:val="nil"/>
              <w:bottom w:val="single" w:sz="4" w:space="0" w:color="auto"/>
              <w:right w:val="single" w:sz="8" w:space="0" w:color="000000"/>
            </w:tcBorders>
            <w:shd w:val="clear" w:color="000000" w:fill="FFFFFF"/>
            <w:noWrap/>
            <w:vAlign w:val="center"/>
            <w:hideMark/>
          </w:tcPr>
          <w:p w:rsidR="00BA79B3" w:rsidRPr="00BA79B3" w:rsidRDefault="00155865" w:rsidP="00BA79B3">
            <w:pPr>
              <w:spacing w:after="0" w:line="240" w:lineRule="auto"/>
              <w:jc w:val="center"/>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5</w:t>
            </w:r>
          </w:p>
        </w:tc>
      </w:tr>
      <w:tr w:rsidR="00155865" w:rsidRPr="00BA79B3" w:rsidTr="0052330B">
        <w:trPr>
          <w:trHeight w:val="257"/>
        </w:trPr>
        <w:tc>
          <w:tcPr>
            <w:tcW w:w="9194" w:type="dxa"/>
            <w:tcBorders>
              <w:top w:val="single" w:sz="4" w:space="0" w:color="auto"/>
              <w:left w:val="single" w:sz="8" w:space="0" w:color="auto"/>
              <w:bottom w:val="single" w:sz="4" w:space="0" w:color="auto"/>
              <w:right w:val="single" w:sz="8" w:space="0" w:color="000000"/>
            </w:tcBorders>
            <w:shd w:val="clear" w:color="auto" w:fill="auto"/>
            <w:noWrap/>
            <w:vAlign w:val="bottom"/>
          </w:tcPr>
          <w:p w:rsidR="00155865" w:rsidRPr="00BA79B3" w:rsidRDefault="00155865" w:rsidP="00BA79B3">
            <w:pPr>
              <w:spacing w:after="0" w:line="240" w:lineRule="auto"/>
              <w:rPr>
                <w:rFonts w:ascii="Calibri" w:eastAsia="Times New Roman" w:hAnsi="Calibri" w:cs="Times New Roman"/>
                <w:color w:val="000000"/>
              </w:rPr>
            </w:pPr>
            <w:r w:rsidRPr="00155865">
              <w:rPr>
                <w:rFonts w:ascii="Calibri" w:eastAsia="Times New Roman" w:hAnsi="Calibri" w:cs="Times New Roman"/>
                <w:color w:val="000000"/>
              </w:rPr>
              <w:t>Program served the number of clients indicated in the grant agreement</w:t>
            </w:r>
          </w:p>
        </w:tc>
        <w:tc>
          <w:tcPr>
            <w:tcW w:w="1555" w:type="dxa"/>
            <w:tcBorders>
              <w:top w:val="single" w:sz="4" w:space="0" w:color="auto"/>
              <w:left w:val="nil"/>
              <w:bottom w:val="single" w:sz="4" w:space="0" w:color="auto"/>
              <w:right w:val="single" w:sz="8" w:space="0" w:color="000000"/>
            </w:tcBorders>
            <w:shd w:val="clear" w:color="000000" w:fill="FFFFFF"/>
            <w:noWrap/>
            <w:vAlign w:val="center"/>
          </w:tcPr>
          <w:p w:rsidR="00155865" w:rsidRPr="00BA79B3" w:rsidRDefault="00155865" w:rsidP="00BA79B3">
            <w:pPr>
              <w:spacing w:after="0" w:line="240" w:lineRule="auto"/>
              <w:jc w:val="center"/>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10</w:t>
            </w:r>
          </w:p>
        </w:tc>
      </w:tr>
      <w:tr w:rsidR="00BA79B3" w:rsidRPr="00BA79B3" w:rsidTr="0052330B">
        <w:trPr>
          <w:trHeight w:val="257"/>
        </w:trPr>
        <w:tc>
          <w:tcPr>
            <w:tcW w:w="9194" w:type="dxa"/>
            <w:tcBorders>
              <w:top w:val="single" w:sz="4" w:space="0" w:color="auto"/>
              <w:left w:val="single" w:sz="8" w:space="0" w:color="auto"/>
              <w:bottom w:val="nil"/>
              <w:right w:val="single" w:sz="8" w:space="0" w:color="000000"/>
            </w:tcBorders>
            <w:shd w:val="clear" w:color="000000" w:fill="B4C6E7"/>
            <w:noWrap/>
            <w:vAlign w:val="bottom"/>
            <w:hideMark/>
          </w:tcPr>
          <w:p w:rsidR="00BA79B3" w:rsidRPr="00BA79B3" w:rsidRDefault="00BA79B3" w:rsidP="00BA79B3">
            <w:pPr>
              <w:spacing w:after="0" w:line="240" w:lineRule="auto"/>
              <w:rPr>
                <w:rFonts w:ascii="Calibri Light" w:eastAsia="Times New Roman" w:hAnsi="Calibri Light" w:cs="Times New Roman"/>
                <w:b/>
                <w:bCs/>
                <w:color w:val="000000"/>
              </w:rPr>
            </w:pPr>
            <w:r w:rsidRPr="00BA79B3">
              <w:rPr>
                <w:rFonts w:ascii="Calibri Light" w:eastAsia="Times New Roman" w:hAnsi="Calibri Light" w:cs="Times New Roman"/>
                <w:b/>
                <w:bCs/>
                <w:color w:val="000000"/>
              </w:rPr>
              <w:t xml:space="preserve">Match/Leveraging </w:t>
            </w:r>
          </w:p>
        </w:tc>
        <w:tc>
          <w:tcPr>
            <w:tcW w:w="1555" w:type="dxa"/>
            <w:tcBorders>
              <w:top w:val="single" w:sz="4" w:space="0" w:color="auto"/>
              <w:left w:val="nil"/>
              <w:bottom w:val="nil"/>
              <w:right w:val="single" w:sz="8" w:space="0" w:color="000000"/>
            </w:tcBorders>
            <w:shd w:val="clear" w:color="000000" w:fill="B4C6E7"/>
            <w:noWrap/>
            <w:vAlign w:val="center"/>
            <w:hideMark/>
          </w:tcPr>
          <w:p w:rsidR="00BA79B3" w:rsidRPr="00BA79B3" w:rsidRDefault="00155865" w:rsidP="00BA79B3">
            <w:pPr>
              <w:spacing w:after="0" w:line="240" w:lineRule="auto"/>
              <w:jc w:val="center"/>
              <w:rPr>
                <w:rFonts w:ascii="Calibri Light" w:eastAsia="Times New Roman" w:hAnsi="Calibri Light" w:cs="Times New Roman"/>
                <w:b/>
                <w:bCs/>
                <w:color w:val="000000"/>
                <w:sz w:val="20"/>
                <w:szCs w:val="20"/>
              </w:rPr>
            </w:pPr>
            <w:r>
              <w:rPr>
                <w:rFonts w:ascii="Calibri Light" w:eastAsia="Times New Roman" w:hAnsi="Calibri Light" w:cs="Times New Roman"/>
                <w:b/>
                <w:bCs/>
                <w:color w:val="000000"/>
                <w:sz w:val="20"/>
                <w:szCs w:val="20"/>
              </w:rPr>
              <w:t>Up to 10</w:t>
            </w:r>
            <w:r w:rsidR="00BA79B3" w:rsidRPr="00BA79B3">
              <w:rPr>
                <w:rFonts w:ascii="Calibri Light" w:eastAsia="Times New Roman" w:hAnsi="Calibri Light" w:cs="Times New Roman"/>
                <w:b/>
                <w:bCs/>
                <w:color w:val="000000"/>
                <w:sz w:val="20"/>
                <w:szCs w:val="20"/>
              </w:rPr>
              <w:t xml:space="preserve"> points</w:t>
            </w:r>
          </w:p>
        </w:tc>
      </w:tr>
      <w:tr w:rsidR="00BA79B3" w:rsidRPr="00BA79B3" w:rsidTr="0052330B">
        <w:trPr>
          <w:trHeight w:val="257"/>
        </w:trPr>
        <w:tc>
          <w:tcPr>
            <w:tcW w:w="919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A79B3" w:rsidRPr="00BA79B3" w:rsidRDefault="00BA79B3" w:rsidP="00BA79B3">
            <w:pPr>
              <w:spacing w:after="0" w:line="240" w:lineRule="auto"/>
              <w:rPr>
                <w:rFonts w:ascii="Calibri" w:eastAsia="Times New Roman" w:hAnsi="Calibri" w:cs="Times New Roman"/>
                <w:color w:val="000000"/>
              </w:rPr>
            </w:pPr>
            <w:r w:rsidRPr="00BA79B3">
              <w:rPr>
                <w:rFonts w:ascii="Calibri" w:eastAsia="Times New Roman" w:hAnsi="Calibri" w:cs="Times New Roman"/>
                <w:color w:val="000000"/>
              </w:rPr>
              <w:t xml:space="preserve">Project application demonstrates 51%-100% in leveraging or match </w:t>
            </w:r>
          </w:p>
        </w:tc>
        <w:tc>
          <w:tcPr>
            <w:tcW w:w="1555" w:type="dxa"/>
            <w:tcBorders>
              <w:top w:val="single" w:sz="4" w:space="0" w:color="auto"/>
              <w:left w:val="nil"/>
              <w:bottom w:val="single" w:sz="4" w:space="0" w:color="auto"/>
              <w:right w:val="single" w:sz="8" w:space="0" w:color="000000"/>
            </w:tcBorders>
            <w:shd w:val="clear" w:color="000000" w:fill="FFFFFF"/>
            <w:noWrap/>
            <w:vAlign w:val="center"/>
            <w:hideMark/>
          </w:tcPr>
          <w:p w:rsidR="00BA79B3" w:rsidRPr="00BA79B3" w:rsidRDefault="00155865" w:rsidP="00BA79B3">
            <w:pPr>
              <w:spacing w:after="0" w:line="240" w:lineRule="auto"/>
              <w:jc w:val="center"/>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10</w:t>
            </w:r>
          </w:p>
        </w:tc>
      </w:tr>
      <w:tr w:rsidR="00BA79B3" w:rsidRPr="00BA79B3" w:rsidTr="0052330B">
        <w:trPr>
          <w:trHeight w:val="257"/>
        </w:trPr>
        <w:tc>
          <w:tcPr>
            <w:tcW w:w="919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A79B3" w:rsidRPr="00BA79B3" w:rsidRDefault="00BA79B3" w:rsidP="00BA79B3">
            <w:pPr>
              <w:spacing w:after="0" w:line="240" w:lineRule="auto"/>
              <w:rPr>
                <w:rFonts w:ascii="Calibri" w:eastAsia="Times New Roman" w:hAnsi="Calibri" w:cs="Times New Roman"/>
                <w:color w:val="000000"/>
              </w:rPr>
            </w:pPr>
            <w:r w:rsidRPr="00BA79B3">
              <w:rPr>
                <w:rFonts w:ascii="Calibri" w:eastAsia="Times New Roman" w:hAnsi="Calibri" w:cs="Times New Roman"/>
                <w:color w:val="000000"/>
              </w:rPr>
              <w:t>Project application demonstrates 25%-50% in leveraging or match</w:t>
            </w:r>
          </w:p>
        </w:tc>
        <w:tc>
          <w:tcPr>
            <w:tcW w:w="1555" w:type="dxa"/>
            <w:tcBorders>
              <w:top w:val="single" w:sz="4" w:space="0" w:color="auto"/>
              <w:left w:val="nil"/>
              <w:bottom w:val="single" w:sz="4" w:space="0" w:color="auto"/>
              <w:right w:val="single" w:sz="8" w:space="0" w:color="000000"/>
            </w:tcBorders>
            <w:shd w:val="clear" w:color="000000" w:fill="FFFFFF"/>
            <w:noWrap/>
            <w:vAlign w:val="center"/>
            <w:hideMark/>
          </w:tcPr>
          <w:p w:rsidR="00BA79B3" w:rsidRPr="00BA79B3" w:rsidRDefault="00155865" w:rsidP="00BA79B3">
            <w:pPr>
              <w:spacing w:after="0" w:line="240" w:lineRule="auto"/>
              <w:jc w:val="center"/>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5</w:t>
            </w:r>
          </w:p>
        </w:tc>
      </w:tr>
      <w:tr w:rsidR="00BA79B3" w:rsidRPr="00BA79B3" w:rsidTr="0052330B">
        <w:trPr>
          <w:trHeight w:val="257"/>
        </w:trPr>
        <w:tc>
          <w:tcPr>
            <w:tcW w:w="9194" w:type="dxa"/>
            <w:tcBorders>
              <w:top w:val="single" w:sz="4" w:space="0" w:color="auto"/>
              <w:left w:val="single" w:sz="8" w:space="0" w:color="auto"/>
              <w:bottom w:val="nil"/>
              <w:right w:val="single" w:sz="8" w:space="0" w:color="000000"/>
            </w:tcBorders>
            <w:shd w:val="clear" w:color="000000" w:fill="B4C6E7"/>
            <w:noWrap/>
            <w:vAlign w:val="bottom"/>
            <w:hideMark/>
          </w:tcPr>
          <w:p w:rsidR="00BA79B3" w:rsidRPr="00BA79B3" w:rsidRDefault="00BA79B3" w:rsidP="00BA79B3">
            <w:pPr>
              <w:spacing w:after="0" w:line="240" w:lineRule="auto"/>
              <w:rPr>
                <w:rFonts w:ascii="Calibri Light" w:eastAsia="Times New Roman" w:hAnsi="Calibri Light" w:cs="Times New Roman"/>
                <w:b/>
                <w:bCs/>
                <w:color w:val="000000"/>
              </w:rPr>
            </w:pPr>
            <w:r w:rsidRPr="00BA79B3">
              <w:rPr>
                <w:rFonts w:ascii="Calibri Light" w:eastAsia="Times New Roman" w:hAnsi="Calibri Light" w:cs="Times New Roman"/>
                <w:b/>
                <w:bCs/>
                <w:color w:val="000000"/>
              </w:rPr>
              <w:t>Spending</w:t>
            </w:r>
          </w:p>
        </w:tc>
        <w:tc>
          <w:tcPr>
            <w:tcW w:w="1555" w:type="dxa"/>
            <w:tcBorders>
              <w:top w:val="single" w:sz="4" w:space="0" w:color="auto"/>
              <w:left w:val="nil"/>
              <w:bottom w:val="nil"/>
              <w:right w:val="single" w:sz="8" w:space="0" w:color="000000"/>
            </w:tcBorders>
            <w:shd w:val="clear" w:color="000000" w:fill="B4C6E7"/>
            <w:noWrap/>
            <w:vAlign w:val="center"/>
            <w:hideMark/>
          </w:tcPr>
          <w:p w:rsidR="00BA79B3" w:rsidRPr="00BA79B3" w:rsidRDefault="00155865" w:rsidP="00BA79B3">
            <w:pPr>
              <w:spacing w:after="0" w:line="240" w:lineRule="auto"/>
              <w:jc w:val="center"/>
              <w:rPr>
                <w:rFonts w:ascii="Calibri Light" w:eastAsia="Times New Roman" w:hAnsi="Calibri Light" w:cs="Times New Roman"/>
                <w:b/>
                <w:bCs/>
                <w:color w:val="000000"/>
                <w:sz w:val="20"/>
                <w:szCs w:val="20"/>
              </w:rPr>
            </w:pPr>
            <w:r>
              <w:rPr>
                <w:rFonts w:ascii="Calibri Light" w:eastAsia="Times New Roman" w:hAnsi="Calibri Light" w:cs="Times New Roman"/>
                <w:b/>
                <w:bCs/>
                <w:color w:val="000000"/>
                <w:sz w:val="20"/>
                <w:szCs w:val="20"/>
              </w:rPr>
              <w:t>10</w:t>
            </w:r>
            <w:r w:rsidR="00BA79B3" w:rsidRPr="00BA79B3">
              <w:rPr>
                <w:rFonts w:ascii="Calibri Light" w:eastAsia="Times New Roman" w:hAnsi="Calibri Light" w:cs="Times New Roman"/>
                <w:b/>
                <w:bCs/>
                <w:color w:val="000000"/>
                <w:sz w:val="20"/>
                <w:szCs w:val="20"/>
              </w:rPr>
              <w:t xml:space="preserve"> points </w:t>
            </w:r>
          </w:p>
        </w:tc>
      </w:tr>
      <w:tr w:rsidR="00BA79B3" w:rsidRPr="00BA79B3" w:rsidTr="0052330B">
        <w:trPr>
          <w:trHeight w:val="257"/>
        </w:trPr>
        <w:tc>
          <w:tcPr>
            <w:tcW w:w="919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A79B3" w:rsidRPr="00BA79B3" w:rsidRDefault="00BA79B3" w:rsidP="00BA79B3">
            <w:pPr>
              <w:spacing w:after="0" w:line="240" w:lineRule="auto"/>
              <w:rPr>
                <w:rFonts w:ascii="Calibri" w:eastAsia="Times New Roman" w:hAnsi="Calibri" w:cs="Times New Roman"/>
                <w:color w:val="000000"/>
              </w:rPr>
            </w:pPr>
            <w:r w:rsidRPr="00BA79B3">
              <w:rPr>
                <w:rFonts w:ascii="Calibri" w:eastAsia="Times New Roman" w:hAnsi="Calibri" w:cs="Times New Roman"/>
                <w:color w:val="000000"/>
              </w:rPr>
              <w:t xml:space="preserve">100% of project funding was expended in the last grant term </w:t>
            </w:r>
          </w:p>
        </w:tc>
        <w:tc>
          <w:tcPr>
            <w:tcW w:w="1555" w:type="dxa"/>
            <w:tcBorders>
              <w:top w:val="single" w:sz="4" w:space="0" w:color="auto"/>
              <w:left w:val="nil"/>
              <w:bottom w:val="single" w:sz="4" w:space="0" w:color="auto"/>
              <w:right w:val="single" w:sz="8" w:space="0" w:color="000000"/>
            </w:tcBorders>
            <w:shd w:val="clear" w:color="000000" w:fill="FFFFFF"/>
            <w:noWrap/>
            <w:vAlign w:val="center"/>
            <w:hideMark/>
          </w:tcPr>
          <w:p w:rsidR="00BA79B3" w:rsidRPr="00BA79B3" w:rsidRDefault="00155865" w:rsidP="00BA79B3">
            <w:pPr>
              <w:spacing w:after="0" w:line="240" w:lineRule="auto"/>
              <w:jc w:val="center"/>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10</w:t>
            </w:r>
          </w:p>
        </w:tc>
      </w:tr>
      <w:tr w:rsidR="00BA79B3" w:rsidRPr="00BA79B3" w:rsidTr="0052330B">
        <w:trPr>
          <w:trHeight w:val="257"/>
        </w:trPr>
        <w:tc>
          <w:tcPr>
            <w:tcW w:w="9194" w:type="dxa"/>
            <w:tcBorders>
              <w:top w:val="single" w:sz="4" w:space="0" w:color="auto"/>
              <w:left w:val="single" w:sz="8" w:space="0" w:color="auto"/>
              <w:bottom w:val="nil"/>
              <w:right w:val="single" w:sz="8" w:space="0" w:color="000000"/>
            </w:tcBorders>
            <w:shd w:val="clear" w:color="000000" w:fill="B4C6E7"/>
            <w:noWrap/>
            <w:vAlign w:val="bottom"/>
            <w:hideMark/>
          </w:tcPr>
          <w:p w:rsidR="00BA79B3" w:rsidRPr="00BA79B3" w:rsidRDefault="00BA79B3" w:rsidP="00BA79B3">
            <w:pPr>
              <w:spacing w:after="0" w:line="240" w:lineRule="auto"/>
              <w:rPr>
                <w:rFonts w:ascii="Calibri Light" w:eastAsia="Times New Roman" w:hAnsi="Calibri Light" w:cs="Times New Roman"/>
                <w:b/>
                <w:bCs/>
                <w:color w:val="000000"/>
              </w:rPr>
            </w:pPr>
            <w:r w:rsidRPr="00BA79B3">
              <w:rPr>
                <w:rFonts w:ascii="Calibri Light" w:eastAsia="Times New Roman" w:hAnsi="Calibri Light" w:cs="Times New Roman"/>
                <w:b/>
                <w:bCs/>
                <w:color w:val="000000"/>
              </w:rPr>
              <w:t xml:space="preserve">HMIS </w:t>
            </w:r>
          </w:p>
        </w:tc>
        <w:tc>
          <w:tcPr>
            <w:tcW w:w="1555" w:type="dxa"/>
            <w:tcBorders>
              <w:top w:val="single" w:sz="4" w:space="0" w:color="auto"/>
              <w:left w:val="nil"/>
              <w:bottom w:val="nil"/>
              <w:right w:val="single" w:sz="8" w:space="0" w:color="000000"/>
            </w:tcBorders>
            <w:shd w:val="clear" w:color="000000" w:fill="B4C6E7"/>
            <w:noWrap/>
            <w:vAlign w:val="center"/>
            <w:hideMark/>
          </w:tcPr>
          <w:p w:rsidR="00BA79B3" w:rsidRPr="00BA79B3" w:rsidRDefault="00155865" w:rsidP="00BA79B3">
            <w:pPr>
              <w:spacing w:after="0" w:line="240" w:lineRule="auto"/>
              <w:jc w:val="center"/>
              <w:rPr>
                <w:rFonts w:ascii="Calibri Light" w:eastAsia="Times New Roman" w:hAnsi="Calibri Light" w:cs="Times New Roman"/>
                <w:b/>
                <w:bCs/>
                <w:color w:val="000000"/>
                <w:sz w:val="20"/>
                <w:szCs w:val="20"/>
              </w:rPr>
            </w:pPr>
            <w:r>
              <w:rPr>
                <w:rFonts w:ascii="Calibri Light" w:eastAsia="Times New Roman" w:hAnsi="Calibri Light" w:cs="Times New Roman"/>
                <w:b/>
                <w:bCs/>
                <w:color w:val="000000"/>
                <w:sz w:val="20"/>
                <w:szCs w:val="20"/>
              </w:rPr>
              <w:t>Up to 20</w:t>
            </w:r>
            <w:r w:rsidR="00BA79B3" w:rsidRPr="00BA79B3">
              <w:rPr>
                <w:rFonts w:ascii="Calibri Light" w:eastAsia="Times New Roman" w:hAnsi="Calibri Light" w:cs="Times New Roman"/>
                <w:b/>
                <w:bCs/>
                <w:color w:val="000000"/>
                <w:sz w:val="20"/>
                <w:szCs w:val="20"/>
              </w:rPr>
              <w:t xml:space="preserve"> points</w:t>
            </w:r>
          </w:p>
        </w:tc>
      </w:tr>
      <w:tr w:rsidR="00BA79B3" w:rsidRPr="00BA79B3" w:rsidTr="0052330B">
        <w:trPr>
          <w:trHeight w:val="257"/>
        </w:trPr>
        <w:tc>
          <w:tcPr>
            <w:tcW w:w="919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A79B3" w:rsidRPr="00BA79B3" w:rsidRDefault="00155865" w:rsidP="00BA79B3">
            <w:pPr>
              <w:spacing w:after="0" w:line="240" w:lineRule="auto"/>
              <w:rPr>
                <w:rFonts w:ascii="Calibri" w:eastAsia="Times New Roman" w:hAnsi="Calibri" w:cs="Times New Roman"/>
                <w:color w:val="000000"/>
              </w:rPr>
            </w:pPr>
            <w:r>
              <w:rPr>
                <w:rFonts w:ascii="Calibri" w:eastAsia="Times New Roman" w:hAnsi="Calibri" w:cs="Times New Roman"/>
                <w:color w:val="000000"/>
              </w:rPr>
              <w:t>Program maintained 85% occupancy rate according to the HIC</w:t>
            </w:r>
          </w:p>
        </w:tc>
        <w:tc>
          <w:tcPr>
            <w:tcW w:w="1555" w:type="dxa"/>
            <w:tcBorders>
              <w:top w:val="single" w:sz="4" w:space="0" w:color="auto"/>
              <w:left w:val="nil"/>
              <w:bottom w:val="single" w:sz="4" w:space="0" w:color="auto"/>
              <w:right w:val="single" w:sz="8" w:space="0" w:color="000000"/>
            </w:tcBorders>
            <w:shd w:val="clear" w:color="000000" w:fill="FFFFFF"/>
            <w:noWrap/>
            <w:vAlign w:val="center"/>
            <w:hideMark/>
          </w:tcPr>
          <w:p w:rsidR="00BA79B3" w:rsidRPr="00BA79B3" w:rsidRDefault="00155865" w:rsidP="00BA79B3">
            <w:pPr>
              <w:spacing w:after="0" w:line="240" w:lineRule="auto"/>
              <w:jc w:val="center"/>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10</w:t>
            </w:r>
          </w:p>
        </w:tc>
      </w:tr>
      <w:tr w:rsidR="00BA79B3" w:rsidRPr="00BA79B3" w:rsidTr="0052330B">
        <w:trPr>
          <w:trHeight w:val="257"/>
        </w:trPr>
        <w:tc>
          <w:tcPr>
            <w:tcW w:w="919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A79B3" w:rsidRPr="00BA79B3" w:rsidRDefault="00BA79B3" w:rsidP="00BA79B3">
            <w:pPr>
              <w:spacing w:after="0" w:line="240" w:lineRule="auto"/>
              <w:rPr>
                <w:rFonts w:ascii="Calibri" w:eastAsia="Times New Roman" w:hAnsi="Calibri" w:cs="Times New Roman"/>
                <w:color w:val="000000"/>
              </w:rPr>
            </w:pPr>
            <w:r w:rsidRPr="00BA79B3">
              <w:rPr>
                <w:rFonts w:ascii="Calibri" w:eastAsia="Times New Roman" w:hAnsi="Calibri" w:cs="Times New Roman"/>
                <w:color w:val="000000"/>
              </w:rPr>
              <w:t>Project has below 10% null or missing values (Based on Entry/Exit data from most recent grant year)</w:t>
            </w:r>
          </w:p>
        </w:tc>
        <w:tc>
          <w:tcPr>
            <w:tcW w:w="1555" w:type="dxa"/>
            <w:tcBorders>
              <w:top w:val="single" w:sz="4" w:space="0" w:color="auto"/>
              <w:left w:val="nil"/>
              <w:bottom w:val="single" w:sz="4" w:space="0" w:color="auto"/>
              <w:right w:val="single" w:sz="8" w:space="0" w:color="000000"/>
            </w:tcBorders>
            <w:shd w:val="clear" w:color="000000" w:fill="FFFFFF"/>
            <w:noWrap/>
            <w:vAlign w:val="center"/>
            <w:hideMark/>
          </w:tcPr>
          <w:p w:rsidR="00BA79B3" w:rsidRPr="00BA79B3" w:rsidRDefault="00155865" w:rsidP="00BA79B3">
            <w:pPr>
              <w:spacing w:after="0" w:line="240" w:lineRule="auto"/>
              <w:jc w:val="center"/>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10</w:t>
            </w:r>
          </w:p>
        </w:tc>
      </w:tr>
      <w:tr w:rsidR="00BA79B3" w:rsidRPr="00BA79B3" w:rsidTr="0052330B">
        <w:trPr>
          <w:trHeight w:val="257"/>
        </w:trPr>
        <w:tc>
          <w:tcPr>
            <w:tcW w:w="9194" w:type="dxa"/>
            <w:tcBorders>
              <w:top w:val="single" w:sz="4" w:space="0" w:color="auto"/>
              <w:left w:val="single" w:sz="8" w:space="0" w:color="auto"/>
              <w:bottom w:val="single" w:sz="4" w:space="0" w:color="auto"/>
              <w:right w:val="single" w:sz="8" w:space="0" w:color="000000"/>
            </w:tcBorders>
            <w:shd w:val="clear" w:color="000000" w:fill="B4C6E7"/>
            <w:noWrap/>
            <w:vAlign w:val="bottom"/>
            <w:hideMark/>
          </w:tcPr>
          <w:p w:rsidR="00BA79B3" w:rsidRPr="00BA79B3" w:rsidRDefault="00BA79B3" w:rsidP="00BA79B3">
            <w:pPr>
              <w:spacing w:after="0" w:line="240" w:lineRule="auto"/>
              <w:rPr>
                <w:rFonts w:ascii="Calibri Light" w:eastAsia="Times New Roman" w:hAnsi="Calibri Light" w:cs="Times New Roman"/>
                <w:b/>
                <w:bCs/>
                <w:color w:val="000000"/>
              </w:rPr>
            </w:pPr>
            <w:r w:rsidRPr="00BA79B3">
              <w:rPr>
                <w:rFonts w:ascii="Calibri Light" w:eastAsia="Times New Roman" w:hAnsi="Calibri Light" w:cs="Times New Roman"/>
                <w:b/>
                <w:bCs/>
                <w:color w:val="000000"/>
              </w:rPr>
              <w:t xml:space="preserve">Point in Time Count </w:t>
            </w:r>
          </w:p>
        </w:tc>
        <w:tc>
          <w:tcPr>
            <w:tcW w:w="1555" w:type="dxa"/>
            <w:tcBorders>
              <w:top w:val="single" w:sz="8" w:space="0" w:color="auto"/>
              <w:left w:val="nil"/>
              <w:bottom w:val="single" w:sz="4" w:space="0" w:color="auto"/>
              <w:right w:val="single" w:sz="8" w:space="0" w:color="000000"/>
            </w:tcBorders>
            <w:shd w:val="clear" w:color="000000" w:fill="B4C6E7"/>
            <w:noWrap/>
            <w:vAlign w:val="center"/>
            <w:hideMark/>
          </w:tcPr>
          <w:p w:rsidR="00BA79B3" w:rsidRPr="00BA79B3" w:rsidRDefault="00155865" w:rsidP="00BA79B3">
            <w:pPr>
              <w:spacing w:after="0" w:line="240" w:lineRule="auto"/>
              <w:jc w:val="center"/>
              <w:rPr>
                <w:rFonts w:ascii="Calibri Light" w:eastAsia="Times New Roman" w:hAnsi="Calibri Light" w:cs="Times New Roman"/>
                <w:b/>
                <w:bCs/>
                <w:color w:val="000000"/>
                <w:sz w:val="20"/>
                <w:szCs w:val="20"/>
              </w:rPr>
            </w:pPr>
            <w:r>
              <w:rPr>
                <w:rFonts w:ascii="Calibri Light" w:eastAsia="Times New Roman" w:hAnsi="Calibri Light" w:cs="Times New Roman"/>
                <w:b/>
                <w:bCs/>
                <w:color w:val="000000"/>
                <w:sz w:val="20"/>
                <w:szCs w:val="20"/>
              </w:rPr>
              <w:t>5</w:t>
            </w:r>
            <w:r w:rsidR="00BA79B3" w:rsidRPr="00BA79B3">
              <w:rPr>
                <w:rFonts w:ascii="Calibri Light" w:eastAsia="Times New Roman" w:hAnsi="Calibri Light" w:cs="Times New Roman"/>
                <w:b/>
                <w:bCs/>
                <w:color w:val="000000"/>
                <w:sz w:val="20"/>
                <w:szCs w:val="20"/>
              </w:rPr>
              <w:t xml:space="preserve"> point</w:t>
            </w:r>
            <w:r>
              <w:rPr>
                <w:rFonts w:ascii="Calibri Light" w:eastAsia="Times New Roman" w:hAnsi="Calibri Light" w:cs="Times New Roman"/>
                <w:b/>
                <w:bCs/>
                <w:color w:val="000000"/>
                <w:sz w:val="20"/>
                <w:szCs w:val="20"/>
              </w:rPr>
              <w:t>s</w:t>
            </w:r>
            <w:r w:rsidR="00BA79B3" w:rsidRPr="00BA79B3">
              <w:rPr>
                <w:rFonts w:ascii="Calibri Light" w:eastAsia="Times New Roman" w:hAnsi="Calibri Light" w:cs="Times New Roman"/>
                <w:b/>
                <w:bCs/>
                <w:color w:val="000000"/>
                <w:sz w:val="20"/>
                <w:szCs w:val="20"/>
              </w:rPr>
              <w:t xml:space="preserve"> </w:t>
            </w:r>
          </w:p>
        </w:tc>
      </w:tr>
      <w:tr w:rsidR="00BA79B3" w:rsidRPr="00BA79B3" w:rsidTr="0052330B">
        <w:trPr>
          <w:trHeight w:val="270"/>
        </w:trPr>
        <w:tc>
          <w:tcPr>
            <w:tcW w:w="919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A79B3" w:rsidRPr="00BA79B3" w:rsidRDefault="00BA79B3" w:rsidP="00155865">
            <w:pPr>
              <w:spacing w:after="0" w:line="240" w:lineRule="auto"/>
              <w:rPr>
                <w:rFonts w:ascii="Calibri" w:eastAsia="Times New Roman" w:hAnsi="Calibri" w:cs="Times New Roman"/>
                <w:color w:val="000000"/>
              </w:rPr>
            </w:pPr>
            <w:r w:rsidRPr="00BA79B3">
              <w:rPr>
                <w:rFonts w:ascii="Calibri" w:eastAsia="Times New Roman" w:hAnsi="Calibri" w:cs="Times New Roman"/>
                <w:color w:val="000000"/>
              </w:rPr>
              <w:t xml:space="preserve">Participated in </w:t>
            </w:r>
            <w:r w:rsidR="00155865">
              <w:rPr>
                <w:rFonts w:ascii="Calibri" w:eastAsia="Times New Roman" w:hAnsi="Calibri" w:cs="Times New Roman"/>
                <w:color w:val="000000"/>
              </w:rPr>
              <w:t>annual</w:t>
            </w:r>
            <w:r w:rsidRPr="00BA79B3">
              <w:rPr>
                <w:rFonts w:ascii="Calibri" w:eastAsia="Times New Roman" w:hAnsi="Calibri" w:cs="Times New Roman"/>
                <w:color w:val="000000"/>
              </w:rPr>
              <w:t xml:space="preserve"> PIT </w:t>
            </w:r>
          </w:p>
        </w:tc>
        <w:tc>
          <w:tcPr>
            <w:tcW w:w="1555" w:type="dxa"/>
            <w:tcBorders>
              <w:top w:val="single" w:sz="4" w:space="0" w:color="auto"/>
              <w:left w:val="nil"/>
              <w:bottom w:val="single" w:sz="4" w:space="0" w:color="auto"/>
              <w:right w:val="single" w:sz="8" w:space="0" w:color="000000"/>
            </w:tcBorders>
            <w:shd w:val="clear" w:color="auto" w:fill="auto"/>
            <w:noWrap/>
            <w:vAlign w:val="bottom"/>
            <w:hideMark/>
          </w:tcPr>
          <w:p w:rsidR="00BA79B3" w:rsidRPr="00BA79B3" w:rsidRDefault="00155865" w:rsidP="00BA79B3">
            <w:pPr>
              <w:spacing w:after="0" w:line="240" w:lineRule="auto"/>
              <w:jc w:val="center"/>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5</w:t>
            </w:r>
          </w:p>
        </w:tc>
      </w:tr>
      <w:tr w:rsidR="00BA79B3" w:rsidRPr="00BA79B3" w:rsidTr="0052330B">
        <w:trPr>
          <w:trHeight w:val="257"/>
        </w:trPr>
        <w:tc>
          <w:tcPr>
            <w:tcW w:w="9194" w:type="dxa"/>
            <w:tcBorders>
              <w:top w:val="single" w:sz="4" w:space="0" w:color="auto"/>
              <w:left w:val="single" w:sz="8" w:space="0" w:color="auto"/>
              <w:bottom w:val="single" w:sz="4" w:space="0" w:color="auto"/>
              <w:right w:val="single" w:sz="8" w:space="0" w:color="000000"/>
            </w:tcBorders>
            <w:shd w:val="clear" w:color="000000" w:fill="B4C6E7"/>
            <w:noWrap/>
            <w:vAlign w:val="bottom"/>
            <w:hideMark/>
          </w:tcPr>
          <w:p w:rsidR="00BA79B3" w:rsidRPr="00BA79B3" w:rsidRDefault="00BA79B3" w:rsidP="00BA79B3">
            <w:pPr>
              <w:spacing w:after="0" w:line="240" w:lineRule="auto"/>
              <w:rPr>
                <w:rFonts w:ascii="Calibri Light" w:eastAsia="Times New Roman" w:hAnsi="Calibri Light" w:cs="Times New Roman"/>
                <w:b/>
                <w:bCs/>
                <w:color w:val="000000"/>
              </w:rPr>
            </w:pPr>
            <w:r w:rsidRPr="00BA79B3">
              <w:rPr>
                <w:rFonts w:ascii="Calibri Light" w:eastAsia="Times New Roman" w:hAnsi="Calibri Light" w:cs="Times New Roman"/>
                <w:b/>
                <w:bCs/>
                <w:color w:val="000000"/>
              </w:rPr>
              <w:t xml:space="preserve">Housing Inventory </w:t>
            </w:r>
          </w:p>
        </w:tc>
        <w:tc>
          <w:tcPr>
            <w:tcW w:w="1555" w:type="dxa"/>
            <w:tcBorders>
              <w:top w:val="single" w:sz="8" w:space="0" w:color="auto"/>
              <w:left w:val="nil"/>
              <w:bottom w:val="single" w:sz="4" w:space="0" w:color="auto"/>
              <w:right w:val="single" w:sz="8" w:space="0" w:color="000000"/>
            </w:tcBorders>
            <w:shd w:val="clear" w:color="000000" w:fill="B4C6E7"/>
            <w:noWrap/>
            <w:vAlign w:val="center"/>
            <w:hideMark/>
          </w:tcPr>
          <w:p w:rsidR="00BA79B3" w:rsidRPr="00BA79B3" w:rsidRDefault="00155865" w:rsidP="00BA79B3">
            <w:pPr>
              <w:spacing w:after="0" w:line="240" w:lineRule="auto"/>
              <w:jc w:val="center"/>
              <w:rPr>
                <w:rFonts w:ascii="Calibri Light" w:eastAsia="Times New Roman" w:hAnsi="Calibri Light" w:cs="Times New Roman"/>
                <w:b/>
                <w:bCs/>
                <w:color w:val="000000"/>
                <w:sz w:val="20"/>
                <w:szCs w:val="20"/>
              </w:rPr>
            </w:pPr>
            <w:r>
              <w:rPr>
                <w:rFonts w:ascii="Calibri Light" w:eastAsia="Times New Roman" w:hAnsi="Calibri Light" w:cs="Times New Roman"/>
                <w:b/>
                <w:bCs/>
                <w:color w:val="000000"/>
                <w:sz w:val="20"/>
                <w:szCs w:val="20"/>
              </w:rPr>
              <w:t>5</w:t>
            </w:r>
            <w:r w:rsidR="00BA79B3" w:rsidRPr="00BA79B3">
              <w:rPr>
                <w:rFonts w:ascii="Calibri Light" w:eastAsia="Times New Roman" w:hAnsi="Calibri Light" w:cs="Times New Roman"/>
                <w:b/>
                <w:bCs/>
                <w:color w:val="000000"/>
                <w:sz w:val="20"/>
                <w:szCs w:val="20"/>
              </w:rPr>
              <w:t xml:space="preserve"> points </w:t>
            </w:r>
          </w:p>
        </w:tc>
      </w:tr>
      <w:tr w:rsidR="00BA79B3" w:rsidRPr="00BA79B3" w:rsidTr="0052330B">
        <w:trPr>
          <w:trHeight w:val="270"/>
        </w:trPr>
        <w:tc>
          <w:tcPr>
            <w:tcW w:w="9194" w:type="dxa"/>
            <w:tcBorders>
              <w:top w:val="single" w:sz="4" w:space="0" w:color="auto"/>
              <w:left w:val="single" w:sz="8" w:space="0" w:color="auto"/>
              <w:bottom w:val="nil"/>
              <w:right w:val="single" w:sz="8" w:space="0" w:color="000000"/>
            </w:tcBorders>
            <w:shd w:val="clear" w:color="auto" w:fill="auto"/>
            <w:noWrap/>
            <w:vAlign w:val="bottom"/>
            <w:hideMark/>
          </w:tcPr>
          <w:p w:rsidR="00BA79B3" w:rsidRPr="00BA79B3" w:rsidRDefault="00BA79B3" w:rsidP="00155865">
            <w:pPr>
              <w:spacing w:after="0" w:line="240" w:lineRule="auto"/>
              <w:rPr>
                <w:rFonts w:ascii="Calibri Light" w:eastAsia="Times New Roman" w:hAnsi="Calibri Light" w:cs="Times New Roman"/>
                <w:color w:val="000000"/>
              </w:rPr>
            </w:pPr>
            <w:r w:rsidRPr="00D644A5">
              <w:rPr>
                <w:rFonts w:ascii="Calibri Light" w:eastAsia="Times New Roman" w:hAnsi="Calibri Light" w:cs="Times New Roman"/>
                <w:color w:val="000000"/>
              </w:rPr>
              <w:t xml:space="preserve">Project submitted </w:t>
            </w:r>
            <w:r w:rsidR="00155865">
              <w:rPr>
                <w:rFonts w:ascii="Calibri Light" w:eastAsia="Times New Roman" w:hAnsi="Calibri Light" w:cs="Times New Roman"/>
                <w:color w:val="000000"/>
              </w:rPr>
              <w:t xml:space="preserve">annual </w:t>
            </w:r>
            <w:r w:rsidRPr="00D644A5">
              <w:rPr>
                <w:rFonts w:ascii="Calibri Light" w:eastAsia="Times New Roman" w:hAnsi="Calibri Light" w:cs="Times New Roman"/>
                <w:color w:val="000000"/>
              </w:rPr>
              <w:t>Housing Inventory to the CoC Lead/City of Tuscaloosa by deadline</w:t>
            </w:r>
          </w:p>
        </w:tc>
        <w:tc>
          <w:tcPr>
            <w:tcW w:w="1555" w:type="dxa"/>
            <w:tcBorders>
              <w:top w:val="single" w:sz="4" w:space="0" w:color="auto"/>
              <w:left w:val="nil"/>
              <w:bottom w:val="nil"/>
              <w:right w:val="single" w:sz="8" w:space="0" w:color="000000"/>
            </w:tcBorders>
            <w:shd w:val="clear" w:color="auto" w:fill="auto"/>
            <w:noWrap/>
            <w:vAlign w:val="bottom"/>
            <w:hideMark/>
          </w:tcPr>
          <w:p w:rsidR="00BA79B3" w:rsidRPr="00BA79B3" w:rsidRDefault="00155865" w:rsidP="00D644A5">
            <w:pPr>
              <w:spacing w:after="0" w:line="240" w:lineRule="auto"/>
              <w:jc w:val="center"/>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5</w:t>
            </w:r>
          </w:p>
        </w:tc>
      </w:tr>
      <w:tr w:rsidR="00BA79B3" w:rsidRPr="00BA79B3" w:rsidTr="0052330B">
        <w:trPr>
          <w:trHeight w:val="270"/>
        </w:trPr>
        <w:tc>
          <w:tcPr>
            <w:tcW w:w="9194" w:type="dxa"/>
            <w:tcBorders>
              <w:top w:val="single" w:sz="8" w:space="0" w:color="auto"/>
              <w:left w:val="single" w:sz="8" w:space="0" w:color="auto"/>
              <w:bottom w:val="single" w:sz="8" w:space="0" w:color="auto"/>
              <w:right w:val="single" w:sz="8" w:space="0" w:color="000000"/>
            </w:tcBorders>
            <w:shd w:val="clear" w:color="000000" w:fill="5B9BD5"/>
            <w:noWrap/>
            <w:vAlign w:val="center"/>
            <w:hideMark/>
          </w:tcPr>
          <w:p w:rsidR="00BA79B3" w:rsidRPr="00BA79B3" w:rsidRDefault="00BA79B3" w:rsidP="00BA79B3">
            <w:pPr>
              <w:spacing w:after="0" w:line="240" w:lineRule="auto"/>
              <w:rPr>
                <w:rFonts w:ascii="Calibri Light" w:eastAsia="Times New Roman" w:hAnsi="Calibri Light" w:cs="Times New Roman"/>
                <w:b/>
                <w:bCs/>
                <w:color w:val="FFFFFF"/>
              </w:rPr>
            </w:pPr>
            <w:r w:rsidRPr="00BA79B3">
              <w:rPr>
                <w:rFonts w:ascii="Calibri Light" w:eastAsia="Times New Roman" w:hAnsi="Calibri Light" w:cs="Times New Roman"/>
                <w:b/>
                <w:bCs/>
                <w:color w:val="FFFFFF"/>
              </w:rPr>
              <w:t>Total Points Possible</w:t>
            </w:r>
          </w:p>
        </w:tc>
        <w:tc>
          <w:tcPr>
            <w:tcW w:w="1555" w:type="dxa"/>
            <w:tcBorders>
              <w:top w:val="single" w:sz="8" w:space="0" w:color="auto"/>
              <w:left w:val="nil"/>
              <w:bottom w:val="single" w:sz="8" w:space="0" w:color="auto"/>
              <w:right w:val="single" w:sz="8" w:space="0" w:color="000000"/>
            </w:tcBorders>
            <w:shd w:val="clear" w:color="000000" w:fill="5B9BD5"/>
            <w:noWrap/>
            <w:vAlign w:val="bottom"/>
            <w:hideMark/>
          </w:tcPr>
          <w:p w:rsidR="00BA79B3" w:rsidRPr="00BA79B3" w:rsidRDefault="00C32DEC" w:rsidP="001A1DD6">
            <w:pPr>
              <w:spacing w:after="0" w:line="240" w:lineRule="auto"/>
              <w:jc w:val="center"/>
              <w:rPr>
                <w:rFonts w:ascii="Calibri Light" w:eastAsia="Times New Roman" w:hAnsi="Calibri Light" w:cs="Times New Roman"/>
                <w:b/>
                <w:bCs/>
                <w:color w:val="FFFFFF"/>
              </w:rPr>
            </w:pPr>
            <w:r>
              <w:rPr>
                <w:rFonts w:ascii="Calibri Light" w:eastAsia="Times New Roman" w:hAnsi="Calibri Light" w:cs="Times New Roman"/>
                <w:b/>
                <w:bCs/>
                <w:color w:val="FFFFFF"/>
              </w:rPr>
              <w:t>10</w:t>
            </w:r>
            <w:r w:rsidR="001A1DD6">
              <w:rPr>
                <w:rFonts w:ascii="Calibri Light" w:eastAsia="Times New Roman" w:hAnsi="Calibri Light" w:cs="Times New Roman"/>
                <w:b/>
                <w:bCs/>
                <w:color w:val="FFFFFF"/>
              </w:rPr>
              <w:t>0</w:t>
            </w:r>
          </w:p>
        </w:tc>
      </w:tr>
    </w:tbl>
    <w:p w:rsidR="007A7D80" w:rsidRDefault="007A7D80" w:rsidP="007A7D80">
      <w:pPr>
        <w:jc w:val="center"/>
        <w:rPr>
          <w:rFonts w:ascii="Calibri" w:hAnsi="Calibri"/>
          <w:b/>
          <w:sz w:val="24"/>
        </w:rPr>
      </w:pPr>
    </w:p>
    <w:p w:rsidR="007A7D80" w:rsidRDefault="007A7D80" w:rsidP="007A7D80">
      <w:pPr>
        <w:jc w:val="center"/>
        <w:rPr>
          <w:rFonts w:ascii="Calibri" w:hAnsi="Calibri"/>
          <w:b/>
          <w:sz w:val="24"/>
        </w:rPr>
      </w:pPr>
    </w:p>
    <w:p w:rsidR="007A7D80" w:rsidRDefault="007A7D80" w:rsidP="007A7D80">
      <w:pPr>
        <w:jc w:val="center"/>
        <w:rPr>
          <w:rFonts w:ascii="Calibri" w:hAnsi="Calibri"/>
          <w:b/>
          <w:sz w:val="24"/>
        </w:rPr>
      </w:pPr>
    </w:p>
    <w:p w:rsidR="00D644A5" w:rsidRDefault="00D644A5" w:rsidP="007A7D80">
      <w:pPr>
        <w:jc w:val="center"/>
        <w:rPr>
          <w:rFonts w:ascii="Calibri" w:hAnsi="Calibri"/>
          <w:b/>
          <w:sz w:val="24"/>
        </w:rPr>
      </w:pPr>
    </w:p>
    <w:p w:rsidR="007A7D80" w:rsidRDefault="007A7D80" w:rsidP="009142FD">
      <w:pPr>
        <w:spacing w:after="0" w:line="240" w:lineRule="auto"/>
        <w:rPr>
          <w:rFonts w:ascii="Calibri" w:hAnsi="Calibri"/>
          <w:color w:val="FF0000"/>
          <w:sz w:val="24"/>
        </w:rPr>
      </w:pPr>
    </w:p>
    <w:p w:rsidR="00155865" w:rsidRDefault="00155865" w:rsidP="00926255">
      <w:pPr>
        <w:spacing w:after="0" w:line="240" w:lineRule="auto"/>
        <w:rPr>
          <w:rFonts w:ascii="Calibri" w:hAnsi="Calibri"/>
          <w:b/>
          <w:sz w:val="24"/>
          <w:u w:val="single"/>
        </w:rPr>
      </w:pPr>
    </w:p>
    <w:p w:rsidR="00155865" w:rsidRDefault="00155865" w:rsidP="00926255">
      <w:pPr>
        <w:spacing w:after="0" w:line="240" w:lineRule="auto"/>
        <w:rPr>
          <w:rFonts w:ascii="Calibri" w:hAnsi="Calibri"/>
          <w:b/>
          <w:sz w:val="24"/>
          <w:u w:val="single"/>
        </w:rPr>
      </w:pPr>
    </w:p>
    <w:p w:rsidR="009142FD" w:rsidRDefault="009142FD" w:rsidP="00926255">
      <w:pPr>
        <w:spacing w:after="0" w:line="240" w:lineRule="auto"/>
        <w:rPr>
          <w:rFonts w:ascii="Calibri" w:hAnsi="Calibri"/>
          <w:b/>
          <w:sz w:val="24"/>
          <w:u w:val="single"/>
        </w:rPr>
      </w:pPr>
      <w:r w:rsidRPr="008458D9">
        <w:rPr>
          <w:rFonts w:ascii="Calibri" w:hAnsi="Calibri"/>
          <w:b/>
          <w:sz w:val="24"/>
          <w:u w:val="single"/>
        </w:rPr>
        <w:t xml:space="preserve">Appeals Process    </w:t>
      </w:r>
    </w:p>
    <w:p w:rsidR="00155865" w:rsidRDefault="00155865" w:rsidP="00926255">
      <w:pPr>
        <w:spacing w:after="0" w:line="240" w:lineRule="auto"/>
        <w:rPr>
          <w:rFonts w:ascii="Calibri" w:hAnsi="Calibri"/>
          <w:b/>
          <w:sz w:val="24"/>
          <w:u w:val="single"/>
        </w:rPr>
      </w:pPr>
    </w:p>
    <w:p w:rsidR="00155865" w:rsidRPr="008458D9" w:rsidRDefault="00155865" w:rsidP="00926255">
      <w:pPr>
        <w:spacing w:after="0" w:line="240" w:lineRule="auto"/>
        <w:rPr>
          <w:rFonts w:ascii="Calibri" w:hAnsi="Calibri"/>
          <w:b/>
          <w:sz w:val="24"/>
          <w:u w:val="single"/>
        </w:rPr>
      </w:pPr>
    </w:p>
    <w:p w:rsidR="009142FD" w:rsidRPr="008458D9" w:rsidRDefault="009142FD" w:rsidP="00926255">
      <w:pPr>
        <w:spacing w:after="0" w:line="240" w:lineRule="auto"/>
        <w:jc w:val="both"/>
        <w:rPr>
          <w:rFonts w:ascii="Calibri" w:hAnsi="Calibri"/>
          <w:sz w:val="24"/>
        </w:rPr>
      </w:pPr>
      <w:r w:rsidRPr="008458D9">
        <w:rPr>
          <w:rFonts w:ascii="Calibri" w:hAnsi="Calibri"/>
          <w:sz w:val="24"/>
        </w:rPr>
        <w:t>The Appeals Committee represented by 3-5 non-conflicted CoC members</w:t>
      </w:r>
      <w:r w:rsidR="0052330B" w:rsidRPr="008458D9">
        <w:rPr>
          <w:rFonts w:ascii="Calibri" w:hAnsi="Calibri"/>
          <w:sz w:val="24"/>
        </w:rPr>
        <w:t xml:space="preserve"> and the CoC Board</w:t>
      </w:r>
      <w:r w:rsidRPr="008458D9">
        <w:rPr>
          <w:rFonts w:ascii="Calibri" w:hAnsi="Calibri"/>
          <w:sz w:val="24"/>
        </w:rPr>
        <w:t xml:space="preserve"> will review all appeals</w:t>
      </w:r>
      <w:r w:rsidR="0052330B" w:rsidRPr="008458D9">
        <w:rPr>
          <w:rFonts w:ascii="Calibri" w:hAnsi="Calibri"/>
          <w:sz w:val="24"/>
        </w:rPr>
        <w:t xml:space="preserve"> and</w:t>
      </w:r>
      <w:r w:rsidRPr="008458D9">
        <w:rPr>
          <w:rFonts w:ascii="Calibri" w:hAnsi="Calibri"/>
          <w:sz w:val="24"/>
        </w:rPr>
        <w:t xml:space="preserve"> make recommendations </w:t>
      </w:r>
      <w:r w:rsidR="0052330B" w:rsidRPr="008458D9">
        <w:rPr>
          <w:rFonts w:ascii="Calibri" w:hAnsi="Calibri"/>
          <w:sz w:val="24"/>
        </w:rPr>
        <w:t xml:space="preserve">and make a final determination regarding the appeal. </w:t>
      </w:r>
      <w:r w:rsidRPr="008458D9">
        <w:rPr>
          <w:rFonts w:ascii="Calibri" w:hAnsi="Calibri"/>
          <w:sz w:val="24"/>
        </w:rPr>
        <w:t>The Appeals Committee wil</w:t>
      </w:r>
      <w:r w:rsidR="0052330B" w:rsidRPr="008458D9">
        <w:rPr>
          <w:rFonts w:ascii="Calibri" w:hAnsi="Calibri"/>
          <w:sz w:val="24"/>
        </w:rPr>
        <w:t>l be selected by</w:t>
      </w:r>
      <w:r w:rsidRPr="008458D9">
        <w:rPr>
          <w:rFonts w:ascii="Calibri" w:hAnsi="Calibri"/>
          <w:sz w:val="24"/>
        </w:rPr>
        <w:t xml:space="preserve"> the CoC Board of Governance or its designees</w:t>
      </w:r>
      <w:r w:rsidR="0052330B" w:rsidRPr="008458D9">
        <w:rPr>
          <w:rFonts w:ascii="Calibri" w:hAnsi="Calibri"/>
          <w:sz w:val="24"/>
        </w:rPr>
        <w:t xml:space="preserve">. These individuals will have no </w:t>
      </w:r>
      <w:r w:rsidRPr="008458D9">
        <w:rPr>
          <w:rFonts w:ascii="Calibri" w:hAnsi="Calibri"/>
          <w:sz w:val="24"/>
        </w:rPr>
        <w:t>conflict of interest in serving, as d</w:t>
      </w:r>
      <w:r w:rsidR="0052330B" w:rsidRPr="008458D9">
        <w:rPr>
          <w:rFonts w:ascii="Calibri" w:hAnsi="Calibri"/>
          <w:sz w:val="24"/>
        </w:rPr>
        <w:t xml:space="preserve">efined by the conflict of interest policy. </w:t>
      </w:r>
    </w:p>
    <w:p w:rsidR="009142FD" w:rsidRPr="008458D9" w:rsidRDefault="009142FD" w:rsidP="00926255">
      <w:pPr>
        <w:spacing w:after="0" w:line="240" w:lineRule="auto"/>
        <w:rPr>
          <w:rFonts w:ascii="Calibri" w:hAnsi="Calibri"/>
          <w:sz w:val="24"/>
        </w:rPr>
      </w:pPr>
    </w:p>
    <w:p w:rsidR="0052330B" w:rsidRPr="008458D9" w:rsidRDefault="009142FD" w:rsidP="00926255">
      <w:pPr>
        <w:spacing w:line="240" w:lineRule="auto"/>
        <w:jc w:val="both"/>
        <w:rPr>
          <w:rFonts w:ascii="Calibri" w:hAnsi="Calibri"/>
          <w:sz w:val="24"/>
        </w:rPr>
      </w:pPr>
      <w:r w:rsidRPr="008458D9">
        <w:rPr>
          <w:rFonts w:ascii="Calibri" w:hAnsi="Calibri"/>
          <w:sz w:val="24"/>
        </w:rPr>
        <w:t>Applicants may appeal any of the following decisions of the CoC Board of Governance:</w:t>
      </w:r>
    </w:p>
    <w:p w:rsidR="0052330B" w:rsidRPr="008458D9" w:rsidRDefault="009142FD" w:rsidP="00926255">
      <w:pPr>
        <w:spacing w:line="240" w:lineRule="auto"/>
        <w:jc w:val="both"/>
        <w:rPr>
          <w:rFonts w:ascii="Calibri" w:hAnsi="Calibri"/>
          <w:sz w:val="24"/>
        </w:rPr>
      </w:pPr>
      <w:r w:rsidRPr="008458D9">
        <w:rPr>
          <w:rFonts w:ascii="Calibri" w:hAnsi="Calibri"/>
          <w:sz w:val="24"/>
        </w:rPr>
        <w:t>• Placement of a project in Tier 2.</w:t>
      </w:r>
    </w:p>
    <w:p w:rsidR="0052330B" w:rsidRPr="008458D9" w:rsidRDefault="009142FD" w:rsidP="00926255">
      <w:pPr>
        <w:spacing w:line="240" w:lineRule="auto"/>
        <w:jc w:val="both"/>
        <w:rPr>
          <w:rFonts w:ascii="Calibri" w:hAnsi="Calibri"/>
          <w:sz w:val="24"/>
        </w:rPr>
      </w:pPr>
      <w:r w:rsidRPr="008458D9">
        <w:rPr>
          <w:rFonts w:ascii="Calibri" w:hAnsi="Calibri"/>
          <w:sz w:val="24"/>
        </w:rPr>
        <w:t>• Reduction of a renewal grant amount (i.e. renewal grant partially reallocated</w:t>
      </w:r>
      <w:r w:rsidR="0052330B" w:rsidRPr="008458D9">
        <w:rPr>
          <w:rFonts w:ascii="Calibri" w:hAnsi="Calibri"/>
          <w:sz w:val="24"/>
        </w:rPr>
        <w:t xml:space="preserve"> </w:t>
      </w:r>
      <w:r w:rsidRPr="008458D9">
        <w:rPr>
          <w:rFonts w:ascii="Calibri" w:hAnsi="Calibri"/>
          <w:sz w:val="24"/>
        </w:rPr>
        <w:t>to a new project).</w:t>
      </w:r>
    </w:p>
    <w:p w:rsidR="009142FD" w:rsidRPr="008458D9" w:rsidRDefault="009142FD" w:rsidP="00926255">
      <w:pPr>
        <w:spacing w:line="240" w:lineRule="auto"/>
        <w:jc w:val="both"/>
        <w:rPr>
          <w:rFonts w:ascii="Calibri" w:hAnsi="Calibri"/>
          <w:sz w:val="24"/>
        </w:rPr>
      </w:pPr>
      <w:r w:rsidRPr="008458D9">
        <w:rPr>
          <w:rFonts w:ascii="Calibri" w:hAnsi="Calibri"/>
          <w:sz w:val="24"/>
        </w:rPr>
        <w:t>• Reduction of a renewal grant (i.e. entire grant reallocated to a new</w:t>
      </w:r>
      <w:r w:rsidR="0052330B" w:rsidRPr="008458D9">
        <w:rPr>
          <w:rFonts w:ascii="Calibri" w:hAnsi="Calibri"/>
          <w:sz w:val="24"/>
        </w:rPr>
        <w:t xml:space="preserve"> </w:t>
      </w:r>
      <w:r w:rsidRPr="008458D9">
        <w:rPr>
          <w:rFonts w:ascii="Calibri" w:hAnsi="Calibri"/>
          <w:sz w:val="24"/>
        </w:rPr>
        <w:t>project) if not previously notified that the grant was to be reallocated as</w:t>
      </w:r>
      <w:r w:rsidR="0052330B" w:rsidRPr="008458D9">
        <w:rPr>
          <w:rFonts w:ascii="Calibri" w:hAnsi="Calibri"/>
          <w:sz w:val="24"/>
        </w:rPr>
        <w:t xml:space="preserve"> </w:t>
      </w:r>
      <w:r w:rsidRPr="008458D9">
        <w:rPr>
          <w:rFonts w:ascii="Calibri" w:hAnsi="Calibri"/>
          <w:sz w:val="24"/>
        </w:rPr>
        <w:t>a result of low performance.</w:t>
      </w:r>
    </w:p>
    <w:p w:rsidR="009142FD" w:rsidRPr="008458D9" w:rsidRDefault="009142FD" w:rsidP="00926255">
      <w:pPr>
        <w:spacing w:after="0" w:line="240" w:lineRule="auto"/>
        <w:jc w:val="both"/>
        <w:rPr>
          <w:rFonts w:ascii="Calibri" w:hAnsi="Calibri"/>
          <w:sz w:val="24"/>
        </w:rPr>
      </w:pPr>
      <w:r w:rsidRPr="008458D9">
        <w:rPr>
          <w:rFonts w:ascii="Calibri" w:hAnsi="Calibri"/>
          <w:sz w:val="24"/>
        </w:rPr>
        <w:t>Applicants placed in Tier 1 may not appeal their rank on the Project Priority Listing. All renewal</w:t>
      </w:r>
    </w:p>
    <w:p w:rsidR="009142FD" w:rsidRPr="008458D9" w:rsidRDefault="009142FD" w:rsidP="00926255">
      <w:pPr>
        <w:spacing w:after="0" w:line="240" w:lineRule="auto"/>
        <w:jc w:val="both"/>
        <w:rPr>
          <w:rFonts w:ascii="Calibri" w:hAnsi="Calibri"/>
          <w:sz w:val="24"/>
        </w:rPr>
      </w:pPr>
      <w:r w:rsidRPr="008458D9">
        <w:rPr>
          <w:rFonts w:ascii="Calibri" w:hAnsi="Calibri"/>
          <w:sz w:val="24"/>
        </w:rPr>
        <w:t>applicants will receive</w:t>
      </w:r>
      <w:r w:rsidR="0052330B" w:rsidRPr="008458D9">
        <w:rPr>
          <w:rFonts w:ascii="Calibri" w:hAnsi="Calibri"/>
          <w:sz w:val="24"/>
        </w:rPr>
        <w:t xml:space="preserve"> notification of their submission status and ranking at least 15 days prior to the NOFA submission deadline. </w:t>
      </w:r>
    </w:p>
    <w:p w:rsidR="009142FD" w:rsidRPr="008458D9" w:rsidRDefault="009142FD" w:rsidP="00926255">
      <w:pPr>
        <w:spacing w:after="0" w:line="240" w:lineRule="auto"/>
        <w:jc w:val="both"/>
        <w:rPr>
          <w:rFonts w:ascii="Calibri" w:hAnsi="Calibri"/>
          <w:sz w:val="24"/>
        </w:rPr>
      </w:pPr>
    </w:p>
    <w:p w:rsidR="009142FD" w:rsidRPr="008458D9" w:rsidRDefault="009142FD" w:rsidP="00926255">
      <w:pPr>
        <w:spacing w:after="0" w:line="240" w:lineRule="auto"/>
        <w:jc w:val="both"/>
        <w:rPr>
          <w:rFonts w:ascii="Calibri" w:hAnsi="Calibri"/>
          <w:sz w:val="24"/>
        </w:rPr>
      </w:pPr>
      <w:r w:rsidRPr="008458D9">
        <w:rPr>
          <w:rFonts w:ascii="Calibri" w:hAnsi="Calibri"/>
          <w:sz w:val="24"/>
        </w:rPr>
        <w:t xml:space="preserve">Any agency that wishes to appeal must notify the CoC Board of </w:t>
      </w:r>
      <w:r w:rsidR="005D2463" w:rsidRPr="008458D9">
        <w:rPr>
          <w:rFonts w:ascii="Calibri" w:hAnsi="Calibri"/>
          <w:sz w:val="24"/>
        </w:rPr>
        <w:t>Governance</w:t>
      </w:r>
      <w:r w:rsidRPr="008458D9">
        <w:rPr>
          <w:rFonts w:ascii="Calibri" w:hAnsi="Calibri"/>
          <w:sz w:val="24"/>
        </w:rPr>
        <w:t xml:space="preserve"> in writing no later than at least </w:t>
      </w:r>
      <w:r w:rsidR="0052330B" w:rsidRPr="008458D9">
        <w:rPr>
          <w:rFonts w:ascii="Calibri" w:hAnsi="Calibri"/>
          <w:sz w:val="24"/>
        </w:rPr>
        <w:t>3 business days</w:t>
      </w:r>
      <w:r w:rsidRPr="008458D9">
        <w:rPr>
          <w:rFonts w:ascii="Calibri" w:hAnsi="Calibri"/>
          <w:sz w:val="24"/>
        </w:rPr>
        <w:t xml:space="preserve"> after the priority ranking has been communicated in writing. An appeal </w:t>
      </w:r>
      <w:r w:rsidR="0052330B" w:rsidRPr="008458D9">
        <w:rPr>
          <w:rFonts w:ascii="Calibri" w:hAnsi="Calibri"/>
          <w:sz w:val="24"/>
        </w:rPr>
        <w:t xml:space="preserve">must be in written form on agency letterhead and submitted to the CoC Secretary (who will immediately distribute to the Ranking Committee. </w:t>
      </w:r>
      <w:r w:rsidR="00F2799F" w:rsidRPr="008458D9">
        <w:rPr>
          <w:rFonts w:ascii="Calibri" w:hAnsi="Calibri"/>
          <w:sz w:val="24"/>
        </w:rPr>
        <w:t xml:space="preserve">The letter may be in written or electronic format and must include: </w:t>
      </w:r>
    </w:p>
    <w:p w:rsidR="00F2799F" w:rsidRPr="008458D9" w:rsidRDefault="00F2799F" w:rsidP="00926255">
      <w:pPr>
        <w:spacing w:after="0" w:line="240" w:lineRule="auto"/>
        <w:jc w:val="both"/>
        <w:rPr>
          <w:rFonts w:ascii="Calibri" w:hAnsi="Calibri"/>
          <w:sz w:val="24"/>
        </w:rPr>
      </w:pPr>
    </w:p>
    <w:p w:rsidR="00F2799F" w:rsidRPr="008458D9" w:rsidRDefault="00F2799F" w:rsidP="00926255">
      <w:pPr>
        <w:spacing w:after="0" w:line="240" w:lineRule="auto"/>
        <w:jc w:val="both"/>
        <w:rPr>
          <w:rFonts w:ascii="Calibri" w:hAnsi="Calibri"/>
          <w:sz w:val="24"/>
        </w:rPr>
      </w:pPr>
      <w:r w:rsidRPr="008458D9">
        <w:rPr>
          <w:rFonts w:ascii="Calibri" w:hAnsi="Calibri"/>
          <w:sz w:val="24"/>
        </w:rPr>
        <w:t>a) The agency name</w:t>
      </w:r>
    </w:p>
    <w:p w:rsidR="00F2799F" w:rsidRPr="008458D9" w:rsidRDefault="00F2799F" w:rsidP="00926255">
      <w:pPr>
        <w:spacing w:after="0" w:line="240" w:lineRule="auto"/>
        <w:jc w:val="both"/>
        <w:rPr>
          <w:rFonts w:ascii="Calibri" w:hAnsi="Calibri"/>
          <w:sz w:val="24"/>
        </w:rPr>
      </w:pPr>
      <w:r w:rsidRPr="008458D9">
        <w:rPr>
          <w:rFonts w:ascii="Calibri" w:hAnsi="Calibri"/>
          <w:sz w:val="24"/>
        </w:rPr>
        <w:t xml:space="preserve">b) Project Name </w:t>
      </w:r>
    </w:p>
    <w:p w:rsidR="009142FD" w:rsidRPr="008458D9" w:rsidRDefault="00F2799F" w:rsidP="00926255">
      <w:pPr>
        <w:spacing w:after="0" w:line="240" w:lineRule="auto"/>
        <w:jc w:val="both"/>
        <w:rPr>
          <w:rFonts w:ascii="Calibri" w:hAnsi="Calibri"/>
          <w:sz w:val="24"/>
        </w:rPr>
      </w:pPr>
      <w:r w:rsidRPr="008458D9">
        <w:rPr>
          <w:rFonts w:ascii="Calibri" w:hAnsi="Calibri"/>
          <w:sz w:val="24"/>
        </w:rPr>
        <w:t>c) Reason for appeal (maximum of 2 pages)</w:t>
      </w:r>
    </w:p>
    <w:p w:rsidR="009142FD" w:rsidRPr="008458D9" w:rsidRDefault="00F2799F" w:rsidP="00926255">
      <w:pPr>
        <w:spacing w:after="0" w:line="240" w:lineRule="auto"/>
        <w:jc w:val="both"/>
        <w:rPr>
          <w:rFonts w:ascii="Calibri" w:hAnsi="Calibri"/>
          <w:sz w:val="24"/>
        </w:rPr>
      </w:pPr>
      <w:r w:rsidRPr="008458D9">
        <w:rPr>
          <w:rFonts w:ascii="Calibri" w:hAnsi="Calibri"/>
          <w:sz w:val="24"/>
        </w:rPr>
        <w:t>d) Documentation to support the appeal</w:t>
      </w:r>
    </w:p>
    <w:p w:rsidR="00F2799F" w:rsidRPr="008458D9" w:rsidRDefault="00F2799F" w:rsidP="00926255">
      <w:pPr>
        <w:spacing w:after="0" w:line="240" w:lineRule="auto"/>
        <w:jc w:val="both"/>
        <w:rPr>
          <w:rFonts w:ascii="Calibri" w:hAnsi="Calibri"/>
          <w:sz w:val="24"/>
        </w:rPr>
      </w:pPr>
      <w:r w:rsidRPr="008458D9">
        <w:rPr>
          <w:rFonts w:ascii="Calibri" w:hAnsi="Calibri"/>
          <w:sz w:val="24"/>
        </w:rPr>
        <w:t xml:space="preserve">e) Signature by the project’s program manager </w:t>
      </w:r>
      <w:r w:rsidRPr="008458D9">
        <w:rPr>
          <w:rFonts w:ascii="Calibri" w:hAnsi="Calibri"/>
          <w:sz w:val="24"/>
          <w:u w:val="single"/>
        </w:rPr>
        <w:t>and</w:t>
      </w:r>
      <w:r w:rsidRPr="008458D9">
        <w:rPr>
          <w:rFonts w:ascii="Calibri" w:hAnsi="Calibri"/>
          <w:sz w:val="24"/>
        </w:rPr>
        <w:t xml:space="preserve"> the agency’s executive director </w:t>
      </w:r>
    </w:p>
    <w:p w:rsidR="00F2799F" w:rsidRPr="008458D9" w:rsidRDefault="00F2799F" w:rsidP="00926255">
      <w:pPr>
        <w:spacing w:after="0" w:line="240" w:lineRule="auto"/>
        <w:jc w:val="both"/>
        <w:rPr>
          <w:rFonts w:ascii="Calibri" w:hAnsi="Calibri"/>
          <w:sz w:val="24"/>
        </w:rPr>
      </w:pPr>
    </w:p>
    <w:p w:rsidR="007A0DB6" w:rsidRPr="008458D9" w:rsidRDefault="009142FD" w:rsidP="00926255">
      <w:pPr>
        <w:spacing w:after="0" w:line="240" w:lineRule="auto"/>
        <w:jc w:val="both"/>
        <w:rPr>
          <w:rFonts w:ascii="Calibri" w:hAnsi="Calibri"/>
          <w:sz w:val="24"/>
        </w:rPr>
      </w:pPr>
      <w:r w:rsidRPr="008458D9">
        <w:rPr>
          <w:rFonts w:ascii="Calibri" w:hAnsi="Calibri"/>
          <w:sz w:val="24"/>
        </w:rPr>
        <w:t>Applicants will</w:t>
      </w:r>
      <w:r w:rsidR="00F2799F" w:rsidRPr="008458D9">
        <w:rPr>
          <w:rFonts w:ascii="Calibri" w:hAnsi="Calibri"/>
          <w:sz w:val="24"/>
        </w:rPr>
        <w:t xml:space="preserve"> be notified of the outcome within 5 business days</w:t>
      </w:r>
      <w:r w:rsidRPr="008458D9">
        <w:rPr>
          <w:rFonts w:ascii="Calibri" w:hAnsi="Calibri"/>
          <w:sz w:val="24"/>
        </w:rPr>
        <w:t xml:space="preserve">. If an appeal will be filed, other agencies whose rank may be affected will be notified as a courtesy. Such agencies will not be able to file an appeal until after the appeals process is complete.  </w:t>
      </w:r>
    </w:p>
    <w:p w:rsidR="009142FD" w:rsidRDefault="009142FD" w:rsidP="00926255">
      <w:pPr>
        <w:spacing w:after="0" w:line="240" w:lineRule="auto"/>
        <w:jc w:val="both"/>
        <w:rPr>
          <w:rFonts w:ascii="Calibri" w:hAnsi="Calibri"/>
          <w:color w:val="FF0000"/>
          <w:sz w:val="24"/>
        </w:rPr>
      </w:pPr>
    </w:p>
    <w:p w:rsidR="00FC268C" w:rsidRPr="00FC268C" w:rsidRDefault="00FC268C" w:rsidP="00FC268C">
      <w:pPr>
        <w:jc w:val="both"/>
        <w:rPr>
          <w:rFonts w:ascii="Calibri" w:hAnsi="Calibri"/>
          <w:b/>
          <w:sz w:val="24"/>
        </w:rPr>
      </w:pPr>
    </w:p>
    <w:sectPr w:rsidR="00FC268C" w:rsidRPr="00FC268C" w:rsidSect="00A8100E">
      <w:footerReference w:type="default" r:id="rId9"/>
      <w:pgSz w:w="12240" w:h="15840"/>
      <w:pgMar w:top="54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2F8" w:rsidRDefault="007932F8" w:rsidP="00782D30">
      <w:pPr>
        <w:spacing w:after="0" w:line="240" w:lineRule="auto"/>
      </w:pPr>
      <w:r>
        <w:separator/>
      </w:r>
    </w:p>
  </w:endnote>
  <w:endnote w:type="continuationSeparator" w:id="0">
    <w:p w:rsidR="007932F8" w:rsidRDefault="007932F8" w:rsidP="0078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618437"/>
      <w:docPartObj>
        <w:docPartGallery w:val="Page Numbers (Bottom of Page)"/>
        <w:docPartUnique/>
      </w:docPartObj>
    </w:sdtPr>
    <w:sdtEndPr>
      <w:rPr>
        <w:noProof/>
      </w:rPr>
    </w:sdtEndPr>
    <w:sdtContent>
      <w:p w:rsidR="00FE7FDA" w:rsidRDefault="00FE7FDA">
        <w:pPr>
          <w:pStyle w:val="Footer"/>
          <w:jc w:val="right"/>
        </w:pPr>
        <w:r>
          <w:fldChar w:fldCharType="begin"/>
        </w:r>
        <w:r>
          <w:instrText xml:space="preserve"> PAGE   \* MERGEFORMAT </w:instrText>
        </w:r>
        <w:r>
          <w:fldChar w:fldCharType="separate"/>
        </w:r>
        <w:r w:rsidR="00F67439">
          <w:rPr>
            <w:noProof/>
          </w:rPr>
          <w:t>1</w:t>
        </w:r>
        <w:r>
          <w:rPr>
            <w:noProof/>
          </w:rPr>
          <w:fldChar w:fldCharType="end"/>
        </w:r>
      </w:p>
    </w:sdtContent>
  </w:sdt>
  <w:p w:rsidR="00782D30" w:rsidRDefault="00782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2F8" w:rsidRDefault="007932F8" w:rsidP="00782D30">
      <w:pPr>
        <w:spacing w:after="0" w:line="240" w:lineRule="auto"/>
      </w:pPr>
      <w:r>
        <w:separator/>
      </w:r>
    </w:p>
  </w:footnote>
  <w:footnote w:type="continuationSeparator" w:id="0">
    <w:p w:rsidR="007932F8" w:rsidRDefault="007932F8" w:rsidP="00782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33CD"/>
    <w:multiLevelType w:val="hybridMultilevel"/>
    <w:tmpl w:val="02E2FE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8178C3"/>
    <w:multiLevelType w:val="hybridMultilevel"/>
    <w:tmpl w:val="3878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4592D"/>
    <w:multiLevelType w:val="hybridMultilevel"/>
    <w:tmpl w:val="CE8C7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EB7BC4"/>
    <w:multiLevelType w:val="hybridMultilevel"/>
    <w:tmpl w:val="B58A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530C7F"/>
    <w:multiLevelType w:val="hybridMultilevel"/>
    <w:tmpl w:val="FBBAD034"/>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5" w15:restartNumberingAfterBreak="0">
    <w:nsid w:val="78C26FC2"/>
    <w:multiLevelType w:val="hybridMultilevel"/>
    <w:tmpl w:val="E42CE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30"/>
    <w:rsid w:val="00155865"/>
    <w:rsid w:val="00182662"/>
    <w:rsid w:val="001A1BC3"/>
    <w:rsid w:val="001A1DD6"/>
    <w:rsid w:val="001F01E8"/>
    <w:rsid w:val="00240CB1"/>
    <w:rsid w:val="002912B4"/>
    <w:rsid w:val="003427FA"/>
    <w:rsid w:val="003F7313"/>
    <w:rsid w:val="00413746"/>
    <w:rsid w:val="00451BC8"/>
    <w:rsid w:val="004948AA"/>
    <w:rsid w:val="00516B90"/>
    <w:rsid w:val="0052330B"/>
    <w:rsid w:val="005244B1"/>
    <w:rsid w:val="00562E50"/>
    <w:rsid w:val="005855E7"/>
    <w:rsid w:val="00592C36"/>
    <w:rsid w:val="005D2463"/>
    <w:rsid w:val="00602C5F"/>
    <w:rsid w:val="006B6F61"/>
    <w:rsid w:val="00701B9A"/>
    <w:rsid w:val="00782D30"/>
    <w:rsid w:val="00790E17"/>
    <w:rsid w:val="007931A6"/>
    <w:rsid w:val="007932F8"/>
    <w:rsid w:val="007A0DB6"/>
    <w:rsid w:val="007A7D80"/>
    <w:rsid w:val="00810970"/>
    <w:rsid w:val="008458D9"/>
    <w:rsid w:val="00864832"/>
    <w:rsid w:val="00872E67"/>
    <w:rsid w:val="00876227"/>
    <w:rsid w:val="009142FD"/>
    <w:rsid w:val="00915987"/>
    <w:rsid w:val="00915FC2"/>
    <w:rsid w:val="00926255"/>
    <w:rsid w:val="009620B8"/>
    <w:rsid w:val="00985DC6"/>
    <w:rsid w:val="00A8100E"/>
    <w:rsid w:val="00A82F08"/>
    <w:rsid w:val="00AA73EF"/>
    <w:rsid w:val="00B116E3"/>
    <w:rsid w:val="00B339AA"/>
    <w:rsid w:val="00BA79B3"/>
    <w:rsid w:val="00BD6F0B"/>
    <w:rsid w:val="00BE09C0"/>
    <w:rsid w:val="00C32DEC"/>
    <w:rsid w:val="00C477C9"/>
    <w:rsid w:val="00CA14FF"/>
    <w:rsid w:val="00D0005F"/>
    <w:rsid w:val="00D361DD"/>
    <w:rsid w:val="00D644A5"/>
    <w:rsid w:val="00DE6C81"/>
    <w:rsid w:val="00EF175B"/>
    <w:rsid w:val="00F22A24"/>
    <w:rsid w:val="00F2799F"/>
    <w:rsid w:val="00F67439"/>
    <w:rsid w:val="00FB54FD"/>
    <w:rsid w:val="00FB7BF2"/>
    <w:rsid w:val="00FC268C"/>
    <w:rsid w:val="00FE4FCA"/>
    <w:rsid w:val="00FE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AC820-0163-4204-A27D-435E6CA4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D30"/>
    <w:pPr>
      <w:ind w:left="720"/>
      <w:contextualSpacing/>
    </w:pPr>
  </w:style>
  <w:style w:type="character" w:styleId="SubtleReference">
    <w:name w:val="Subtle Reference"/>
    <w:basedOn w:val="DefaultParagraphFont"/>
    <w:uiPriority w:val="31"/>
    <w:qFormat/>
    <w:rsid w:val="00782D30"/>
    <w:rPr>
      <w:smallCaps/>
      <w:color w:val="C0504D" w:themeColor="accent2"/>
      <w:u w:val="single"/>
    </w:rPr>
  </w:style>
  <w:style w:type="paragraph" w:styleId="Header">
    <w:name w:val="header"/>
    <w:basedOn w:val="Normal"/>
    <w:link w:val="HeaderChar"/>
    <w:uiPriority w:val="99"/>
    <w:unhideWhenUsed/>
    <w:rsid w:val="00782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D30"/>
  </w:style>
  <w:style w:type="paragraph" w:styleId="Footer">
    <w:name w:val="footer"/>
    <w:basedOn w:val="Normal"/>
    <w:link w:val="FooterChar"/>
    <w:uiPriority w:val="99"/>
    <w:unhideWhenUsed/>
    <w:rsid w:val="00782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D30"/>
  </w:style>
  <w:style w:type="paragraph" w:styleId="NoSpacing">
    <w:name w:val="No Spacing"/>
    <w:link w:val="NoSpacingChar"/>
    <w:uiPriority w:val="1"/>
    <w:qFormat/>
    <w:rsid w:val="00A8100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8100E"/>
    <w:rPr>
      <w:rFonts w:eastAsiaTheme="minorEastAsia"/>
      <w:lang w:eastAsia="ja-JP"/>
    </w:rPr>
  </w:style>
  <w:style w:type="paragraph" w:styleId="BalloonText">
    <w:name w:val="Balloon Text"/>
    <w:basedOn w:val="Normal"/>
    <w:link w:val="BalloonTextChar"/>
    <w:uiPriority w:val="99"/>
    <w:semiHidden/>
    <w:unhideWhenUsed/>
    <w:rsid w:val="00A81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741770">
      <w:bodyDiv w:val="1"/>
      <w:marLeft w:val="0"/>
      <w:marRight w:val="0"/>
      <w:marTop w:val="0"/>
      <w:marBottom w:val="0"/>
      <w:divBdr>
        <w:top w:val="none" w:sz="0" w:space="0" w:color="auto"/>
        <w:left w:val="none" w:sz="0" w:space="0" w:color="auto"/>
        <w:bottom w:val="none" w:sz="0" w:space="0" w:color="auto"/>
        <w:right w:val="none" w:sz="0" w:space="0" w:color="auto"/>
      </w:divBdr>
    </w:div>
    <w:div w:id="1764183274">
      <w:bodyDiv w:val="1"/>
      <w:marLeft w:val="0"/>
      <w:marRight w:val="0"/>
      <w:marTop w:val="0"/>
      <w:marBottom w:val="0"/>
      <w:divBdr>
        <w:top w:val="none" w:sz="0" w:space="0" w:color="auto"/>
        <w:left w:val="none" w:sz="0" w:space="0" w:color="auto"/>
        <w:bottom w:val="none" w:sz="0" w:space="0" w:color="auto"/>
        <w:right w:val="none" w:sz="0" w:space="0" w:color="auto"/>
      </w:divBdr>
    </w:div>
    <w:div w:id="193955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27CF33-2C83-47F3-AC5D-AA0CB829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West Alabama Coalition for the Homeless Ranking and Selection Process for Continuum of Care Project Applications</vt:lpstr>
    </vt:vector>
  </TitlesOfParts>
  <Company>Veteran Affairs</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Alabama Coalition for the Homeless Ranking and Selection Process for Continuum of Care Project Applications</dc:title>
  <dc:creator>Williams, Deborah</dc:creator>
  <cp:lastModifiedBy>Kimberly Montgomery</cp:lastModifiedBy>
  <cp:revision>2</cp:revision>
  <cp:lastPrinted>2014-01-09T18:19:00Z</cp:lastPrinted>
  <dcterms:created xsi:type="dcterms:W3CDTF">2018-08-21T18:10:00Z</dcterms:created>
  <dcterms:modified xsi:type="dcterms:W3CDTF">2018-08-21T18:10:00Z</dcterms:modified>
</cp:coreProperties>
</file>