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9ECB" w14:textId="77777777" w:rsidR="00640E17" w:rsidRPr="008F641C" w:rsidRDefault="00640E17" w:rsidP="00640E17">
      <w:pPr>
        <w:tabs>
          <w:tab w:val="center" w:pos="4680"/>
        </w:tabs>
        <w:spacing w:line="360" w:lineRule="auto"/>
        <w:jc w:val="center"/>
        <w:rPr>
          <w:color w:val="000000" w:themeColor="text1"/>
        </w:rPr>
      </w:pPr>
      <w:r w:rsidRPr="008F641C">
        <w:rPr>
          <w:color w:val="000000" w:themeColor="text1"/>
        </w:rPr>
        <w:t>LEGAL NOTICE</w:t>
      </w:r>
    </w:p>
    <w:p w14:paraId="7DE48DC3" w14:textId="77777777" w:rsidR="00640E17" w:rsidRPr="008F641C" w:rsidRDefault="00640E17" w:rsidP="00640E17">
      <w:pPr>
        <w:spacing w:after="100" w:afterAutospacing="1" w:line="360" w:lineRule="auto"/>
        <w:jc w:val="both"/>
        <w:rPr>
          <w:color w:val="000000" w:themeColor="text1"/>
        </w:rPr>
      </w:pPr>
      <w:r w:rsidRPr="008F641C">
        <w:rPr>
          <w:color w:val="000000" w:themeColor="text1"/>
        </w:rPr>
        <w:t xml:space="preserve">TAKE NOTICE THAT THE FOLLOWING PROPOSED ORDINANCE WILL BE INTRODUCED FOR PASSAGE AT THE COUNCIL MEETING OF THE OXFORD CITY COUNCIL AT ITS REGULAR MEETING ON THE   </w:t>
      </w:r>
      <w:r w:rsidRPr="008F641C">
        <w:rPr>
          <w:color w:val="000000" w:themeColor="text1"/>
          <w:u w:val="single"/>
        </w:rPr>
        <w:t xml:space="preserve"> 9th  </w:t>
      </w:r>
      <w:r w:rsidRPr="008F641C">
        <w:rPr>
          <w:color w:val="000000" w:themeColor="text1"/>
        </w:rPr>
        <w:t xml:space="preserve">  DAY OF</w:t>
      </w:r>
      <w:r w:rsidRPr="008F641C">
        <w:rPr>
          <w:color w:val="000000" w:themeColor="text1"/>
          <w:u w:val="single"/>
        </w:rPr>
        <w:t xml:space="preserve">  June  </w:t>
      </w:r>
      <w:r w:rsidRPr="008F641C">
        <w:rPr>
          <w:color w:val="000000" w:themeColor="text1"/>
        </w:rPr>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441F5EA3" w14:textId="77777777" w:rsidR="00640E17" w:rsidRPr="008F641C" w:rsidRDefault="00640E17" w:rsidP="00640E17">
      <w:pPr>
        <w:tabs>
          <w:tab w:val="center" w:pos="4680"/>
        </w:tabs>
        <w:spacing w:line="360" w:lineRule="auto"/>
        <w:jc w:val="both"/>
        <w:rPr>
          <w:color w:val="000000" w:themeColor="text1"/>
        </w:rPr>
      </w:pPr>
      <w:r w:rsidRPr="008F641C">
        <w:rPr>
          <w:color w:val="000000" w:themeColor="text1"/>
        </w:rPr>
        <w:tab/>
        <w:t xml:space="preserve">PROPOSED ORDINANCE NUMBER </w:t>
      </w:r>
      <w:r w:rsidRPr="008F641C">
        <w:rPr>
          <w:color w:val="000000" w:themeColor="text1"/>
          <w:u w:val="single"/>
        </w:rPr>
        <w:t>2026-</w:t>
      </w:r>
    </w:p>
    <w:p w14:paraId="027E632B" w14:textId="77777777" w:rsidR="00640E17" w:rsidRPr="008F641C" w:rsidRDefault="00640E17" w:rsidP="00640E17">
      <w:pPr>
        <w:rPr>
          <w:color w:val="000000" w:themeColor="text1"/>
        </w:rPr>
      </w:pPr>
    </w:p>
    <w:p w14:paraId="45AF14D4" w14:textId="2ADAC942" w:rsidR="00640E17" w:rsidRPr="008F641C" w:rsidRDefault="00640E17" w:rsidP="00640E17">
      <w:pPr>
        <w:spacing w:line="360" w:lineRule="auto"/>
        <w:ind w:firstLine="720"/>
        <w:jc w:val="both"/>
        <w:rPr>
          <w:color w:val="000000" w:themeColor="text1"/>
        </w:rPr>
      </w:pPr>
      <w:r w:rsidRPr="008F641C">
        <w:rPr>
          <w:color w:val="000000" w:themeColor="text1"/>
        </w:rPr>
        <w:t xml:space="preserve">AN ORDINANCE AMENDING THE ZONING ORDINANCE OF THE CITY OF OXFORD, ARTICLE </w:t>
      </w:r>
      <w:r>
        <w:rPr>
          <w:color w:val="000000" w:themeColor="text1"/>
        </w:rPr>
        <w:t>4</w:t>
      </w:r>
      <w:r w:rsidRPr="008F641C">
        <w:rPr>
          <w:color w:val="000000" w:themeColor="text1"/>
        </w:rPr>
        <w:t xml:space="preserve">, </w:t>
      </w:r>
      <w:r>
        <w:rPr>
          <w:color w:val="000000" w:themeColor="text1"/>
        </w:rPr>
        <w:t>RESIDENTIAL DISTRICTS</w:t>
      </w:r>
      <w:r w:rsidRPr="008F641C">
        <w:rPr>
          <w:color w:val="000000" w:themeColor="text1"/>
        </w:rPr>
        <w:t xml:space="preserve">, </w:t>
      </w:r>
      <w:r>
        <w:rPr>
          <w:color w:val="000000" w:themeColor="text1"/>
        </w:rPr>
        <w:t>TABLE 4-2</w:t>
      </w:r>
      <w:r w:rsidRPr="008F641C">
        <w:rPr>
          <w:color w:val="000000" w:themeColor="text1"/>
        </w:rPr>
        <w:t xml:space="preserve">, </w:t>
      </w:r>
      <w:r>
        <w:rPr>
          <w:color w:val="000000" w:themeColor="text1"/>
        </w:rPr>
        <w:t>AREA AND DIMENSIONAL REGULATIONS, RESIDENTIAL DISTRICTS</w:t>
      </w:r>
      <w:r w:rsidRPr="008F641C">
        <w:rPr>
          <w:color w:val="000000" w:themeColor="text1"/>
        </w:rPr>
        <w:t xml:space="preserve"> (ORDINANCE NO. 2017-20, 9/26/2017)</w:t>
      </w:r>
    </w:p>
    <w:p w14:paraId="68BEE94C" w14:textId="77777777" w:rsidR="00640E17" w:rsidRPr="008F641C" w:rsidRDefault="00640E17" w:rsidP="00640E17">
      <w:pPr>
        <w:spacing w:line="360" w:lineRule="auto"/>
        <w:ind w:firstLine="720"/>
        <w:jc w:val="both"/>
        <w:rPr>
          <w:color w:val="000000" w:themeColor="text1"/>
        </w:rPr>
      </w:pPr>
    </w:p>
    <w:p w14:paraId="7F09091C" w14:textId="77777777" w:rsidR="00640E17" w:rsidRPr="008F641C" w:rsidRDefault="00640E17" w:rsidP="00640E17">
      <w:pPr>
        <w:spacing w:line="360" w:lineRule="auto"/>
        <w:ind w:firstLine="720"/>
        <w:jc w:val="both"/>
        <w:rPr>
          <w:color w:val="000000" w:themeColor="text1"/>
        </w:rPr>
      </w:pPr>
      <w:r w:rsidRPr="008F641C">
        <w:rPr>
          <w:color w:val="000000" w:themeColor="text1"/>
        </w:rPr>
        <w:t>BE IT ORDAINED by the City Council of the City of Oxford, Alabama, as follows:</w:t>
      </w:r>
    </w:p>
    <w:p w14:paraId="18AF64B8" w14:textId="77777777" w:rsidR="00640E17" w:rsidRPr="008F641C" w:rsidRDefault="00640E17" w:rsidP="00640E17">
      <w:pPr>
        <w:spacing w:line="360" w:lineRule="auto"/>
        <w:ind w:firstLine="720"/>
        <w:jc w:val="both"/>
        <w:rPr>
          <w:color w:val="000000" w:themeColor="text1"/>
        </w:rPr>
      </w:pPr>
    </w:p>
    <w:p w14:paraId="1BB7AFE7" w14:textId="077E79A4" w:rsidR="00640E17" w:rsidRDefault="00640E17" w:rsidP="00640E17">
      <w:pPr>
        <w:spacing w:line="360" w:lineRule="auto"/>
        <w:ind w:firstLine="720"/>
        <w:jc w:val="both"/>
        <w:rPr>
          <w:color w:val="000000" w:themeColor="text1"/>
        </w:rPr>
      </w:pPr>
      <w:r w:rsidRPr="008F641C">
        <w:rPr>
          <w:color w:val="000000" w:themeColor="text1"/>
        </w:rPr>
        <w:t>SECTION 1.</w:t>
      </w:r>
      <w:r w:rsidRPr="008F641C">
        <w:rPr>
          <w:color w:val="000000" w:themeColor="text1"/>
        </w:rPr>
        <w:tab/>
        <w:t xml:space="preserve">Upon recommendation of the Planning Board of the City of Oxford the Council hereby amends Article 4, Residential Districts, </w:t>
      </w:r>
      <w:r w:rsidR="00660630">
        <w:rPr>
          <w:color w:val="000000" w:themeColor="text1"/>
        </w:rPr>
        <w:t>T</w:t>
      </w:r>
      <w:r>
        <w:rPr>
          <w:color w:val="000000" w:themeColor="text1"/>
        </w:rPr>
        <w:t>able 4-2</w:t>
      </w:r>
      <w:r w:rsidRPr="008F641C">
        <w:rPr>
          <w:color w:val="000000" w:themeColor="text1"/>
        </w:rPr>
        <w:t xml:space="preserve">, </w:t>
      </w:r>
      <w:r>
        <w:rPr>
          <w:color w:val="000000" w:themeColor="text1"/>
        </w:rPr>
        <w:t xml:space="preserve">Area and Dimensional </w:t>
      </w:r>
      <w:r w:rsidR="00660630">
        <w:rPr>
          <w:color w:val="000000" w:themeColor="text1"/>
        </w:rPr>
        <w:t>Regulations, Residential Districts</w:t>
      </w:r>
      <w:r w:rsidRPr="008F641C">
        <w:rPr>
          <w:color w:val="000000" w:themeColor="text1"/>
        </w:rPr>
        <w:t>, of the above referenced Ordinance so that it shall read in its entirety as follows:</w:t>
      </w:r>
    </w:p>
    <w:p w14:paraId="74259767" w14:textId="77777777" w:rsidR="00640E17" w:rsidRDefault="00640E17" w:rsidP="00640E17">
      <w:pPr>
        <w:spacing w:line="360" w:lineRule="auto"/>
        <w:ind w:firstLine="720"/>
        <w:jc w:val="both"/>
        <w:rPr>
          <w:color w:val="000000" w:themeColor="text1"/>
        </w:rPr>
      </w:pPr>
    </w:p>
    <w:p w14:paraId="46425AE8" w14:textId="77777777" w:rsidR="00640E17" w:rsidRDefault="00640E17" w:rsidP="00640E17">
      <w:pPr>
        <w:spacing w:line="360" w:lineRule="auto"/>
        <w:ind w:firstLine="720"/>
        <w:jc w:val="both"/>
        <w:rPr>
          <w:color w:val="000000" w:themeColor="text1"/>
        </w:rPr>
      </w:pPr>
    </w:p>
    <w:p w14:paraId="5AFD542E" w14:textId="77777777" w:rsidR="00640E17" w:rsidRDefault="00640E17" w:rsidP="00640E17">
      <w:pPr>
        <w:spacing w:line="360" w:lineRule="auto"/>
        <w:ind w:firstLine="720"/>
        <w:jc w:val="both"/>
        <w:rPr>
          <w:color w:val="000000" w:themeColor="text1"/>
        </w:rPr>
      </w:pPr>
    </w:p>
    <w:p w14:paraId="05CE517B" w14:textId="77777777" w:rsidR="00640E17" w:rsidRDefault="00640E17" w:rsidP="00640E17">
      <w:pPr>
        <w:spacing w:line="360" w:lineRule="auto"/>
        <w:ind w:firstLine="720"/>
        <w:jc w:val="both"/>
        <w:rPr>
          <w:color w:val="000000" w:themeColor="text1"/>
        </w:rPr>
      </w:pPr>
    </w:p>
    <w:p w14:paraId="65751B57" w14:textId="77777777" w:rsidR="00640E17" w:rsidRDefault="00640E17" w:rsidP="00640E17">
      <w:pPr>
        <w:spacing w:line="360" w:lineRule="auto"/>
        <w:ind w:firstLine="720"/>
        <w:jc w:val="both"/>
        <w:rPr>
          <w:color w:val="000000" w:themeColor="text1"/>
        </w:rPr>
      </w:pPr>
    </w:p>
    <w:p w14:paraId="0F1585B5" w14:textId="77777777" w:rsidR="00640E17" w:rsidRDefault="00640E17" w:rsidP="00640E17">
      <w:pPr>
        <w:spacing w:line="360" w:lineRule="auto"/>
        <w:ind w:firstLine="720"/>
        <w:jc w:val="both"/>
        <w:rPr>
          <w:color w:val="000000" w:themeColor="text1"/>
        </w:rPr>
      </w:pPr>
    </w:p>
    <w:p w14:paraId="5B0959AB" w14:textId="77777777" w:rsidR="00640E17" w:rsidRPr="008F641C" w:rsidRDefault="00640E17" w:rsidP="00640E17">
      <w:pPr>
        <w:spacing w:line="360" w:lineRule="auto"/>
        <w:ind w:firstLine="720"/>
        <w:jc w:val="both"/>
        <w:rPr>
          <w:color w:val="000000" w:themeColor="text1"/>
        </w:rPr>
      </w:pPr>
    </w:p>
    <w:p w14:paraId="70E3E836" w14:textId="77777777" w:rsidR="00640E17" w:rsidRPr="008F641C" w:rsidRDefault="00640E17" w:rsidP="00640E17">
      <w:pPr>
        <w:spacing w:line="360" w:lineRule="auto"/>
        <w:ind w:firstLine="720"/>
        <w:jc w:val="both"/>
        <w:rPr>
          <w:color w:val="000000" w:themeColor="text1"/>
        </w:rPr>
      </w:pPr>
    </w:p>
    <w:tbl>
      <w:tblPr>
        <w:tblStyle w:val="TableGrid"/>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91"/>
        <w:gridCol w:w="1054"/>
        <w:gridCol w:w="1054"/>
        <w:gridCol w:w="1055"/>
        <w:gridCol w:w="951"/>
        <w:gridCol w:w="951"/>
        <w:gridCol w:w="951"/>
      </w:tblGrid>
      <w:tr w:rsidR="00640E17" w14:paraId="6FCCC4B6" w14:textId="77777777" w:rsidTr="00EC0997">
        <w:tc>
          <w:tcPr>
            <w:tcW w:w="9330" w:type="dxa"/>
            <w:gridSpan w:val="7"/>
            <w:shd w:val="clear" w:color="auto" w:fill="F2F2F2" w:themeFill="background1" w:themeFillShade="F2"/>
          </w:tcPr>
          <w:p w14:paraId="7FB8CE3C" w14:textId="77777777" w:rsidR="00640E17" w:rsidRDefault="00640E17" w:rsidP="00EC0997">
            <w:pPr>
              <w:pStyle w:val="TableHeader"/>
            </w:pPr>
            <w:r>
              <w:lastRenderedPageBreak/>
              <w:t>Table 4-2 Area and Dimensional Regulations, Residential Districts</w:t>
            </w:r>
          </w:p>
        </w:tc>
      </w:tr>
      <w:tr w:rsidR="00640E17" w14:paraId="20D966BF" w14:textId="77777777" w:rsidTr="00EC0997">
        <w:tc>
          <w:tcPr>
            <w:tcW w:w="3278" w:type="dxa"/>
            <w:shd w:val="clear" w:color="auto" w:fill="F2F2F2" w:themeFill="background1" w:themeFillShade="F2"/>
          </w:tcPr>
          <w:p w14:paraId="1DA37022" w14:textId="77777777" w:rsidR="00640E17" w:rsidRDefault="00640E17" w:rsidP="00EC0997">
            <w:pPr>
              <w:pStyle w:val="TableText"/>
            </w:pPr>
          </w:p>
        </w:tc>
        <w:tc>
          <w:tcPr>
            <w:tcW w:w="1062" w:type="dxa"/>
          </w:tcPr>
          <w:p w14:paraId="22117F20" w14:textId="77777777" w:rsidR="00640E17" w:rsidRPr="00B8278C" w:rsidRDefault="00640E17" w:rsidP="00EC0997">
            <w:pPr>
              <w:pStyle w:val="TableText"/>
              <w:jc w:val="center"/>
            </w:pPr>
            <w:r w:rsidRPr="00B8278C">
              <w:t>E-1</w:t>
            </w:r>
          </w:p>
        </w:tc>
        <w:tc>
          <w:tcPr>
            <w:tcW w:w="1062" w:type="dxa"/>
          </w:tcPr>
          <w:p w14:paraId="1446C000" w14:textId="77777777" w:rsidR="00640E17" w:rsidRDefault="00640E17" w:rsidP="00EC0997">
            <w:pPr>
              <w:pStyle w:val="TableText"/>
              <w:jc w:val="center"/>
            </w:pPr>
            <w:r>
              <w:t>R-1</w:t>
            </w:r>
          </w:p>
        </w:tc>
        <w:tc>
          <w:tcPr>
            <w:tcW w:w="1063" w:type="dxa"/>
          </w:tcPr>
          <w:p w14:paraId="79407D83" w14:textId="77777777" w:rsidR="00640E17" w:rsidRDefault="00640E17" w:rsidP="00EC0997">
            <w:pPr>
              <w:pStyle w:val="TableText"/>
              <w:jc w:val="center"/>
            </w:pPr>
            <w:r>
              <w:t>R-2</w:t>
            </w:r>
          </w:p>
        </w:tc>
        <w:tc>
          <w:tcPr>
            <w:tcW w:w="955" w:type="dxa"/>
          </w:tcPr>
          <w:p w14:paraId="3A1C0FAA" w14:textId="77777777" w:rsidR="00640E17" w:rsidRPr="00B8278C" w:rsidRDefault="00640E17" w:rsidP="00EC0997">
            <w:pPr>
              <w:pStyle w:val="TableText"/>
              <w:jc w:val="center"/>
            </w:pPr>
            <w:r w:rsidRPr="00B8278C">
              <w:t>R-3</w:t>
            </w:r>
          </w:p>
        </w:tc>
        <w:tc>
          <w:tcPr>
            <w:tcW w:w="955" w:type="dxa"/>
          </w:tcPr>
          <w:p w14:paraId="6191B703" w14:textId="77777777" w:rsidR="00640E17" w:rsidRDefault="00640E17" w:rsidP="00EC0997">
            <w:pPr>
              <w:pStyle w:val="TableText"/>
              <w:jc w:val="center"/>
            </w:pPr>
            <w:r>
              <w:t>RG</w:t>
            </w:r>
          </w:p>
        </w:tc>
        <w:tc>
          <w:tcPr>
            <w:tcW w:w="955" w:type="dxa"/>
          </w:tcPr>
          <w:p w14:paraId="2E26C828" w14:textId="77777777" w:rsidR="00640E17" w:rsidRDefault="00640E17" w:rsidP="00EC0997">
            <w:pPr>
              <w:pStyle w:val="TableText"/>
              <w:jc w:val="center"/>
            </w:pPr>
            <w:r>
              <w:t>RT</w:t>
            </w:r>
          </w:p>
        </w:tc>
      </w:tr>
      <w:tr w:rsidR="00640E17" w14:paraId="3110A950" w14:textId="77777777" w:rsidTr="00EC0997">
        <w:trPr>
          <w:trHeight w:val="183"/>
        </w:trPr>
        <w:tc>
          <w:tcPr>
            <w:tcW w:w="3278" w:type="dxa"/>
            <w:shd w:val="clear" w:color="auto" w:fill="F2F2F2" w:themeFill="background1" w:themeFillShade="F2"/>
            <w:vAlign w:val="center"/>
          </w:tcPr>
          <w:p w14:paraId="4F477A6A" w14:textId="77777777" w:rsidR="00640E17" w:rsidRDefault="00640E17" w:rsidP="00EC0997">
            <w:pPr>
              <w:pStyle w:val="TableText"/>
            </w:pPr>
            <w:r>
              <w:t>Minimum Lot Area, if on sewer</w:t>
            </w:r>
          </w:p>
        </w:tc>
        <w:tc>
          <w:tcPr>
            <w:tcW w:w="1062" w:type="dxa"/>
            <w:vAlign w:val="center"/>
          </w:tcPr>
          <w:p w14:paraId="043003DC" w14:textId="77777777" w:rsidR="00640E17" w:rsidRPr="00B8278C" w:rsidRDefault="00640E17" w:rsidP="00EC0997">
            <w:pPr>
              <w:pStyle w:val="TableText"/>
              <w:jc w:val="center"/>
            </w:pPr>
            <w:r w:rsidRPr="00B8278C">
              <w:t>30,000 sf</w:t>
            </w:r>
          </w:p>
        </w:tc>
        <w:tc>
          <w:tcPr>
            <w:tcW w:w="1062" w:type="dxa"/>
            <w:vAlign w:val="center"/>
          </w:tcPr>
          <w:p w14:paraId="4110D01C" w14:textId="77777777" w:rsidR="00640E17" w:rsidRDefault="00640E17" w:rsidP="00EC0997">
            <w:pPr>
              <w:pStyle w:val="TableText"/>
              <w:jc w:val="center"/>
            </w:pPr>
            <w:r>
              <w:t>12,750 sf</w:t>
            </w:r>
          </w:p>
        </w:tc>
        <w:tc>
          <w:tcPr>
            <w:tcW w:w="1063" w:type="dxa"/>
            <w:vAlign w:val="center"/>
          </w:tcPr>
          <w:p w14:paraId="3D0C9D0F" w14:textId="77777777" w:rsidR="00640E17" w:rsidRDefault="00640E17" w:rsidP="00EC0997">
            <w:pPr>
              <w:pStyle w:val="TableText"/>
              <w:jc w:val="center"/>
            </w:pPr>
            <w:r>
              <w:t>10,250 sf</w:t>
            </w:r>
          </w:p>
        </w:tc>
        <w:tc>
          <w:tcPr>
            <w:tcW w:w="955" w:type="dxa"/>
            <w:vAlign w:val="center"/>
          </w:tcPr>
          <w:p w14:paraId="27F22EF4" w14:textId="77777777" w:rsidR="00640E17" w:rsidRPr="00B8278C" w:rsidRDefault="00640E17" w:rsidP="00EC0997">
            <w:pPr>
              <w:pStyle w:val="TableText"/>
              <w:jc w:val="center"/>
            </w:pPr>
            <w:r w:rsidRPr="00B8278C">
              <w:t>8,000 sf</w:t>
            </w:r>
          </w:p>
        </w:tc>
        <w:tc>
          <w:tcPr>
            <w:tcW w:w="955" w:type="dxa"/>
            <w:vAlign w:val="center"/>
          </w:tcPr>
          <w:p w14:paraId="11000CB4" w14:textId="77777777" w:rsidR="00640E17" w:rsidRDefault="00640E17" w:rsidP="00EC0997">
            <w:pPr>
              <w:pStyle w:val="TableText"/>
              <w:jc w:val="center"/>
            </w:pPr>
            <w:r>
              <w:t>6,000 sf</w:t>
            </w:r>
          </w:p>
        </w:tc>
        <w:tc>
          <w:tcPr>
            <w:tcW w:w="955" w:type="dxa"/>
            <w:vAlign w:val="center"/>
          </w:tcPr>
          <w:p w14:paraId="49F4027F" w14:textId="77777777" w:rsidR="00640E17" w:rsidRDefault="00640E17" w:rsidP="00EC0997">
            <w:pPr>
              <w:pStyle w:val="TableText"/>
              <w:jc w:val="center"/>
            </w:pPr>
            <w:r>
              <w:t>1,250 sf</w:t>
            </w:r>
          </w:p>
        </w:tc>
      </w:tr>
      <w:tr w:rsidR="00640E17" w14:paraId="3D9994AA" w14:textId="77777777" w:rsidTr="00EC0997">
        <w:tc>
          <w:tcPr>
            <w:tcW w:w="3278" w:type="dxa"/>
            <w:shd w:val="clear" w:color="auto" w:fill="F2F2F2" w:themeFill="background1" w:themeFillShade="F2"/>
            <w:vAlign w:val="center"/>
          </w:tcPr>
          <w:p w14:paraId="673C4078" w14:textId="77777777" w:rsidR="00640E17" w:rsidRDefault="00640E17" w:rsidP="00EC0997">
            <w:pPr>
              <w:pStyle w:val="TableText"/>
            </w:pPr>
            <w:r>
              <w:t>Minimum Lot Area, if unsewered</w:t>
            </w:r>
          </w:p>
        </w:tc>
        <w:tc>
          <w:tcPr>
            <w:tcW w:w="1062" w:type="dxa"/>
            <w:vAlign w:val="center"/>
          </w:tcPr>
          <w:p w14:paraId="0D8236B4" w14:textId="77777777" w:rsidR="00640E17" w:rsidRPr="00B8278C" w:rsidRDefault="00640E17" w:rsidP="00EC0997">
            <w:pPr>
              <w:pStyle w:val="TableText"/>
              <w:jc w:val="center"/>
            </w:pPr>
            <w:r w:rsidRPr="00B8278C">
              <w:t>30,000 sf</w:t>
            </w:r>
          </w:p>
        </w:tc>
        <w:tc>
          <w:tcPr>
            <w:tcW w:w="1062" w:type="dxa"/>
            <w:vAlign w:val="center"/>
          </w:tcPr>
          <w:p w14:paraId="57795B93" w14:textId="77777777" w:rsidR="00640E17" w:rsidRDefault="00640E17" w:rsidP="00EC0997">
            <w:pPr>
              <w:pStyle w:val="TableText"/>
              <w:jc w:val="center"/>
            </w:pPr>
            <w:r>
              <w:t>15,000 sf</w:t>
            </w:r>
          </w:p>
        </w:tc>
        <w:tc>
          <w:tcPr>
            <w:tcW w:w="1063" w:type="dxa"/>
            <w:vAlign w:val="center"/>
          </w:tcPr>
          <w:p w14:paraId="65BAFB7B" w14:textId="77777777" w:rsidR="00640E17" w:rsidRDefault="00640E17" w:rsidP="00EC0997">
            <w:pPr>
              <w:pStyle w:val="TableText"/>
              <w:jc w:val="center"/>
            </w:pPr>
            <w:r>
              <w:t>15,000 sf</w:t>
            </w:r>
          </w:p>
        </w:tc>
        <w:tc>
          <w:tcPr>
            <w:tcW w:w="955" w:type="dxa"/>
            <w:vAlign w:val="center"/>
          </w:tcPr>
          <w:p w14:paraId="514E78CC" w14:textId="77777777" w:rsidR="00640E17" w:rsidRPr="00B8278C" w:rsidRDefault="00640E17" w:rsidP="00EC0997">
            <w:pPr>
              <w:pStyle w:val="TableText"/>
              <w:jc w:val="center"/>
            </w:pPr>
            <w:r w:rsidRPr="00B8278C">
              <w:t>n/a</w:t>
            </w:r>
          </w:p>
        </w:tc>
        <w:tc>
          <w:tcPr>
            <w:tcW w:w="955" w:type="dxa"/>
            <w:vAlign w:val="center"/>
          </w:tcPr>
          <w:p w14:paraId="4A7CFF27" w14:textId="77777777" w:rsidR="00640E17" w:rsidRDefault="00640E17" w:rsidP="00EC0997">
            <w:pPr>
              <w:pStyle w:val="TableText"/>
              <w:jc w:val="center"/>
            </w:pPr>
            <w:r>
              <w:t>n/a</w:t>
            </w:r>
          </w:p>
        </w:tc>
        <w:tc>
          <w:tcPr>
            <w:tcW w:w="955" w:type="dxa"/>
            <w:vAlign w:val="center"/>
          </w:tcPr>
          <w:p w14:paraId="38555B3A" w14:textId="77777777" w:rsidR="00640E17" w:rsidRDefault="00640E17" w:rsidP="00EC0997">
            <w:pPr>
              <w:pStyle w:val="TableText"/>
              <w:jc w:val="center"/>
            </w:pPr>
            <w:r>
              <w:t>n/a</w:t>
            </w:r>
          </w:p>
        </w:tc>
      </w:tr>
      <w:tr w:rsidR="00640E17" w14:paraId="551B5243" w14:textId="77777777" w:rsidTr="00EC0997">
        <w:tc>
          <w:tcPr>
            <w:tcW w:w="3278" w:type="dxa"/>
            <w:shd w:val="clear" w:color="auto" w:fill="F2F2F2" w:themeFill="background1" w:themeFillShade="F2"/>
            <w:vAlign w:val="center"/>
          </w:tcPr>
          <w:p w14:paraId="47E91A5E" w14:textId="77777777" w:rsidR="00640E17" w:rsidRDefault="00640E17" w:rsidP="00EC0997">
            <w:pPr>
              <w:pStyle w:val="TableText"/>
            </w:pPr>
            <w:r>
              <w:t>Minimum Lot Width, if on sewer</w:t>
            </w:r>
          </w:p>
        </w:tc>
        <w:tc>
          <w:tcPr>
            <w:tcW w:w="1062" w:type="dxa"/>
            <w:vAlign w:val="center"/>
          </w:tcPr>
          <w:p w14:paraId="54A57578" w14:textId="77777777" w:rsidR="00640E17" w:rsidRPr="00B8278C" w:rsidRDefault="00640E17" w:rsidP="00EC0997">
            <w:pPr>
              <w:pStyle w:val="TableText"/>
              <w:jc w:val="center"/>
            </w:pPr>
            <w:r w:rsidRPr="00B8278C">
              <w:t>125 ft</w:t>
            </w:r>
          </w:p>
        </w:tc>
        <w:tc>
          <w:tcPr>
            <w:tcW w:w="1062" w:type="dxa"/>
            <w:vAlign w:val="center"/>
          </w:tcPr>
          <w:p w14:paraId="6A9856F4" w14:textId="77777777" w:rsidR="00640E17" w:rsidRDefault="00640E17" w:rsidP="00EC0997">
            <w:pPr>
              <w:pStyle w:val="TableText"/>
              <w:jc w:val="center"/>
            </w:pPr>
            <w:r>
              <w:t>85 ft</w:t>
            </w:r>
          </w:p>
        </w:tc>
        <w:tc>
          <w:tcPr>
            <w:tcW w:w="1063" w:type="dxa"/>
            <w:vAlign w:val="center"/>
          </w:tcPr>
          <w:p w14:paraId="714CD117" w14:textId="77777777" w:rsidR="00640E17" w:rsidRDefault="00640E17" w:rsidP="00EC0997">
            <w:pPr>
              <w:pStyle w:val="TableText"/>
              <w:jc w:val="center"/>
            </w:pPr>
            <w:r>
              <w:t>75 ft</w:t>
            </w:r>
          </w:p>
        </w:tc>
        <w:tc>
          <w:tcPr>
            <w:tcW w:w="955" w:type="dxa"/>
            <w:vAlign w:val="center"/>
          </w:tcPr>
          <w:p w14:paraId="2AFE4243" w14:textId="77777777" w:rsidR="00640E17" w:rsidRPr="00B8278C" w:rsidRDefault="00640E17" w:rsidP="00EC0997">
            <w:pPr>
              <w:pStyle w:val="TableText"/>
              <w:jc w:val="center"/>
            </w:pPr>
            <w:r w:rsidRPr="00B8278C">
              <w:t>65 ft</w:t>
            </w:r>
          </w:p>
        </w:tc>
        <w:tc>
          <w:tcPr>
            <w:tcW w:w="955" w:type="dxa"/>
            <w:vAlign w:val="center"/>
          </w:tcPr>
          <w:p w14:paraId="7740D52F" w14:textId="77777777" w:rsidR="00640E17" w:rsidRDefault="00640E17" w:rsidP="00EC0997">
            <w:pPr>
              <w:pStyle w:val="TableText"/>
              <w:jc w:val="center"/>
            </w:pPr>
            <w:r>
              <w:t>60 ft</w:t>
            </w:r>
          </w:p>
        </w:tc>
        <w:tc>
          <w:tcPr>
            <w:tcW w:w="955" w:type="dxa"/>
            <w:vAlign w:val="center"/>
          </w:tcPr>
          <w:p w14:paraId="0D3F6BE8" w14:textId="77777777" w:rsidR="00640E17" w:rsidRDefault="00640E17" w:rsidP="00EC0997">
            <w:pPr>
              <w:pStyle w:val="TableText"/>
              <w:jc w:val="center"/>
            </w:pPr>
            <w:r>
              <w:t>20 ft</w:t>
            </w:r>
          </w:p>
        </w:tc>
      </w:tr>
      <w:tr w:rsidR="00640E17" w14:paraId="53ABDC37" w14:textId="77777777" w:rsidTr="00EC0997">
        <w:tc>
          <w:tcPr>
            <w:tcW w:w="3278" w:type="dxa"/>
            <w:shd w:val="clear" w:color="auto" w:fill="F2F2F2" w:themeFill="background1" w:themeFillShade="F2"/>
            <w:vAlign w:val="center"/>
          </w:tcPr>
          <w:p w14:paraId="142FA9E9" w14:textId="77777777" w:rsidR="00640E17" w:rsidRDefault="00640E17" w:rsidP="00EC0997">
            <w:pPr>
              <w:pStyle w:val="TableText"/>
            </w:pPr>
            <w:r>
              <w:t>Minimum Lot Width, if unsewered</w:t>
            </w:r>
          </w:p>
        </w:tc>
        <w:tc>
          <w:tcPr>
            <w:tcW w:w="1062" w:type="dxa"/>
            <w:vAlign w:val="center"/>
          </w:tcPr>
          <w:p w14:paraId="039613C2" w14:textId="77777777" w:rsidR="00640E17" w:rsidRPr="00B8278C" w:rsidRDefault="00640E17" w:rsidP="00EC0997">
            <w:pPr>
              <w:pStyle w:val="TableText"/>
              <w:jc w:val="center"/>
            </w:pPr>
            <w:r w:rsidRPr="00B8278C">
              <w:t>125 ft</w:t>
            </w:r>
          </w:p>
        </w:tc>
        <w:tc>
          <w:tcPr>
            <w:tcW w:w="1062" w:type="dxa"/>
            <w:vAlign w:val="center"/>
          </w:tcPr>
          <w:p w14:paraId="2F80B139" w14:textId="77777777" w:rsidR="00640E17" w:rsidRDefault="00640E17" w:rsidP="00EC0997">
            <w:pPr>
              <w:pStyle w:val="TableText"/>
              <w:jc w:val="center"/>
            </w:pPr>
            <w:r>
              <w:t>100 ft</w:t>
            </w:r>
          </w:p>
        </w:tc>
        <w:tc>
          <w:tcPr>
            <w:tcW w:w="1063" w:type="dxa"/>
            <w:vAlign w:val="center"/>
          </w:tcPr>
          <w:p w14:paraId="771BB6F0" w14:textId="77777777" w:rsidR="00640E17" w:rsidRDefault="00640E17" w:rsidP="00EC0997">
            <w:pPr>
              <w:pStyle w:val="TableText"/>
              <w:jc w:val="center"/>
            </w:pPr>
            <w:r>
              <w:t>75 ft</w:t>
            </w:r>
          </w:p>
        </w:tc>
        <w:tc>
          <w:tcPr>
            <w:tcW w:w="955" w:type="dxa"/>
            <w:vAlign w:val="center"/>
          </w:tcPr>
          <w:p w14:paraId="7D461037" w14:textId="77777777" w:rsidR="00640E17" w:rsidRPr="00B8278C" w:rsidRDefault="00640E17" w:rsidP="00EC0997">
            <w:pPr>
              <w:pStyle w:val="TableText"/>
              <w:jc w:val="center"/>
            </w:pPr>
            <w:r w:rsidRPr="00B8278C">
              <w:t>n/a</w:t>
            </w:r>
          </w:p>
        </w:tc>
        <w:tc>
          <w:tcPr>
            <w:tcW w:w="955" w:type="dxa"/>
            <w:vAlign w:val="center"/>
          </w:tcPr>
          <w:p w14:paraId="03E91814" w14:textId="77777777" w:rsidR="00640E17" w:rsidRDefault="00640E17" w:rsidP="00EC0997">
            <w:pPr>
              <w:pStyle w:val="TableText"/>
              <w:jc w:val="center"/>
            </w:pPr>
            <w:r>
              <w:t>n/a</w:t>
            </w:r>
          </w:p>
        </w:tc>
        <w:tc>
          <w:tcPr>
            <w:tcW w:w="955" w:type="dxa"/>
            <w:vAlign w:val="center"/>
          </w:tcPr>
          <w:p w14:paraId="204D61C1" w14:textId="77777777" w:rsidR="00640E17" w:rsidRDefault="00640E17" w:rsidP="00EC0997">
            <w:pPr>
              <w:pStyle w:val="TableText"/>
              <w:jc w:val="center"/>
            </w:pPr>
            <w:r>
              <w:t>n/a</w:t>
            </w:r>
          </w:p>
        </w:tc>
      </w:tr>
      <w:tr w:rsidR="00640E17" w:rsidRPr="00B8278C" w14:paraId="01D0B0B0" w14:textId="77777777" w:rsidTr="00EC0997">
        <w:tc>
          <w:tcPr>
            <w:tcW w:w="3278" w:type="dxa"/>
            <w:shd w:val="clear" w:color="auto" w:fill="F2F2F2" w:themeFill="background1" w:themeFillShade="F2"/>
            <w:vAlign w:val="center"/>
          </w:tcPr>
          <w:p w14:paraId="032BFF2E" w14:textId="660E6C16" w:rsidR="00640E17" w:rsidRDefault="00640E17" w:rsidP="00EC0997">
            <w:pPr>
              <w:pStyle w:val="TableText"/>
            </w:pPr>
            <w:r>
              <w:t>Front Yard</w:t>
            </w:r>
            <w:r>
              <w:t xml:space="preserve"> (from edge of ROW)</w:t>
            </w:r>
          </w:p>
        </w:tc>
        <w:tc>
          <w:tcPr>
            <w:tcW w:w="1062" w:type="dxa"/>
            <w:vAlign w:val="center"/>
          </w:tcPr>
          <w:p w14:paraId="49E928FB" w14:textId="77777777" w:rsidR="00640E17" w:rsidRPr="00B8278C" w:rsidRDefault="00640E17" w:rsidP="00EC0997">
            <w:pPr>
              <w:pStyle w:val="TableText"/>
              <w:jc w:val="center"/>
            </w:pPr>
            <w:r w:rsidRPr="00B8278C">
              <w:t>50 ft</w:t>
            </w:r>
          </w:p>
        </w:tc>
        <w:tc>
          <w:tcPr>
            <w:tcW w:w="1062" w:type="dxa"/>
            <w:vAlign w:val="center"/>
          </w:tcPr>
          <w:p w14:paraId="10D5F18B" w14:textId="77777777" w:rsidR="00640E17" w:rsidRDefault="00640E17" w:rsidP="00EC0997">
            <w:pPr>
              <w:pStyle w:val="TableText"/>
              <w:jc w:val="center"/>
            </w:pPr>
            <w:r>
              <w:t>30 ft</w:t>
            </w:r>
          </w:p>
        </w:tc>
        <w:tc>
          <w:tcPr>
            <w:tcW w:w="1063" w:type="dxa"/>
            <w:vAlign w:val="center"/>
          </w:tcPr>
          <w:p w14:paraId="7AA00921" w14:textId="77777777" w:rsidR="00640E17" w:rsidRDefault="00640E17" w:rsidP="00EC0997">
            <w:pPr>
              <w:pStyle w:val="TableText"/>
              <w:jc w:val="center"/>
            </w:pPr>
            <w:r>
              <w:t>30 ft</w:t>
            </w:r>
          </w:p>
        </w:tc>
        <w:tc>
          <w:tcPr>
            <w:tcW w:w="955" w:type="dxa"/>
            <w:vAlign w:val="center"/>
          </w:tcPr>
          <w:p w14:paraId="688B3A8F" w14:textId="41EC281E" w:rsidR="00640E17" w:rsidRPr="00B8278C" w:rsidRDefault="00640E17" w:rsidP="00EC0997">
            <w:pPr>
              <w:pStyle w:val="TableText"/>
              <w:jc w:val="center"/>
            </w:pPr>
            <w:r>
              <w:t>30</w:t>
            </w:r>
            <w:r w:rsidRPr="00B8278C">
              <w:t xml:space="preserve"> ft</w:t>
            </w:r>
          </w:p>
        </w:tc>
        <w:tc>
          <w:tcPr>
            <w:tcW w:w="955" w:type="dxa"/>
            <w:vAlign w:val="center"/>
          </w:tcPr>
          <w:p w14:paraId="40527EA7" w14:textId="369DFD75" w:rsidR="00640E17" w:rsidRDefault="00640E17" w:rsidP="00EC0997">
            <w:pPr>
              <w:pStyle w:val="TableText"/>
              <w:jc w:val="center"/>
            </w:pPr>
            <w:r>
              <w:t>3</w:t>
            </w:r>
            <w:r>
              <w:t>0 ft</w:t>
            </w:r>
          </w:p>
        </w:tc>
        <w:tc>
          <w:tcPr>
            <w:tcW w:w="955" w:type="dxa"/>
            <w:vAlign w:val="center"/>
          </w:tcPr>
          <w:p w14:paraId="37D1AC6D" w14:textId="34A1C254" w:rsidR="00640E17" w:rsidRPr="00B8278C" w:rsidRDefault="00640E17" w:rsidP="00EC0997">
            <w:pPr>
              <w:pStyle w:val="TableText"/>
              <w:jc w:val="center"/>
            </w:pPr>
            <w:r>
              <w:t>30</w:t>
            </w:r>
            <w:r w:rsidRPr="00B8278C">
              <w:t xml:space="preserve"> ft</w:t>
            </w:r>
          </w:p>
        </w:tc>
      </w:tr>
      <w:tr w:rsidR="00640E17" w:rsidRPr="00B8278C" w14:paraId="48E627FD" w14:textId="77777777" w:rsidTr="00EC0997">
        <w:tc>
          <w:tcPr>
            <w:tcW w:w="3278" w:type="dxa"/>
            <w:shd w:val="clear" w:color="auto" w:fill="F2F2F2" w:themeFill="background1" w:themeFillShade="F2"/>
            <w:vAlign w:val="center"/>
          </w:tcPr>
          <w:p w14:paraId="3E16F04F" w14:textId="77777777" w:rsidR="00640E17" w:rsidRDefault="00640E17" w:rsidP="00EC0997">
            <w:pPr>
              <w:pStyle w:val="TableText"/>
            </w:pPr>
            <w:r>
              <w:t>Secondary Front Yard (see §3.06.2)</w:t>
            </w:r>
          </w:p>
        </w:tc>
        <w:tc>
          <w:tcPr>
            <w:tcW w:w="1062" w:type="dxa"/>
            <w:vAlign w:val="center"/>
          </w:tcPr>
          <w:p w14:paraId="110DCC2A" w14:textId="77777777" w:rsidR="00640E17" w:rsidRPr="00B8278C" w:rsidRDefault="00640E17" w:rsidP="00EC0997">
            <w:pPr>
              <w:pStyle w:val="TableText"/>
              <w:jc w:val="center"/>
            </w:pPr>
            <w:r w:rsidRPr="00B8278C">
              <w:t>n/a</w:t>
            </w:r>
          </w:p>
        </w:tc>
        <w:tc>
          <w:tcPr>
            <w:tcW w:w="1062" w:type="dxa"/>
            <w:vAlign w:val="center"/>
          </w:tcPr>
          <w:p w14:paraId="595E19FC" w14:textId="77777777" w:rsidR="00640E17" w:rsidRPr="00B8278C" w:rsidRDefault="00640E17" w:rsidP="00EC0997">
            <w:pPr>
              <w:pStyle w:val="TableText"/>
              <w:jc w:val="center"/>
            </w:pPr>
            <w:r w:rsidRPr="00B8278C">
              <w:t>22 ft</w:t>
            </w:r>
          </w:p>
        </w:tc>
        <w:tc>
          <w:tcPr>
            <w:tcW w:w="1063" w:type="dxa"/>
            <w:vAlign w:val="center"/>
          </w:tcPr>
          <w:p w14:paraId="0A17B144" w14:textId="77777777" w:rsidR="00640E17" w:rsidRPr="00B8278C" w:rsidRDefault="00640E17" w:rsidP="00EC0997">
            <w:pPr>
              <w:pStyle w:val="TableText"/>
              <w:jc w:val="center"/>
            </w:pPr>
            <w:r w:rsidRPr="00B8278C">
              <w:t>18 ft</w:t>
            </w:r>
          </w:p>
        </w:tc>
        <w:tc>
          <w:tcPr>
            <w:tcW w:w="955" w:type="dxa"/>
            <w:vAlign w:val="center"/>
          </w:tcPr>
          <w:p w14:paraId="49F83394" w14:textId="77777777" w:rsidR="00640E17" w:rsidRPr="00B8278C" w:rsidRDefault="00640E17" w:rsidP="00EC0997">
            <w:pPr>
              <w:pStyle w:val="TableText"/>
              <w:jc w:val="center"/>
            </w:pPr>
            <w:r w:rsidRPr="00B8278C">
              <w:t>15 ft</w:t>
            </w:r>
          </w:p>
        </w:tc>
        <w:tc>
          <w:tcPr>
            <w:tcW w:w="955" w:type="dxa"/>
            <w:vAlign w:val="center"/>
          </w:tcPr>
          <w:p w14:paraId="51DF7F3E" w14:textId="77777777" w:rsidR="00640E17" w:rsidRPr="00B8278C" w:rsidRDefault="00640E17" w:rsidP="00EC0997">
            <w:pPr>
              <w:pStyle w:val="TableText"/>
              <w:jc w:val="center"/>
            </w:pPr>
            <w:r w:rsidRPr="00B8278C">
              <w:t>15 ft</w:t>
            </w:r>
          </w:p>
        </w:tc>
        <w:tc>
          <w:tcPr>
            <w:tcW w:w="955" w:type="dxa"/>
            <w:vAlign w:val="center"/>
          </w:tcPr>
          <w:p w14:paraId="06215C7F" w14:textId="77777777" w:rsidR="00640E17" w:rsidRPr="00B8278C" w:rsidRDefault="00640E17" w:rsidP="00EC0997">
            <w:pPr>
              <w:pStyle w:val="TableText"/>
              <w:jc w:val="center"/>
            </w:pPr>
            <w:r w:rsidRPr="00B8278C">
              <w:t>15 ft</w:t>
            </w:r>
          </w:p>
        </w:tc>
      </w:tr>
      <w:tr w:rsidR="00640E17" w:rsidRPr="00B8278C" w14:paraId="3A9BA327" w14:textId="77777777" w:rsidTr="00EC0997">
        <w:tc>
          <w:tcPr>
            <w:tcW w:w="3278" w:type="dxa"/>
            <w:shd w:val="clear" w:color="auto" w:fill="F2F2F2" w:themeFill="background1" w:themeFillShade="F2"/>
            <w:vAlign w:val="center"/>
          </w:tcPr>
          <w:p w14:paraId="4098E310" w14:textId="77777777" w:rsidR="00640E17" w:rsidRDefault="00640E17" w:rsidP="00EC0997">
            <w:pPr>
              <w:pStyle w:val="TableText"/>
            </w:pPr>
            <w:r>
              <w:t>Rear Yard</w:t>
            </w:r>
          </w:p>
        </w:tc>
        <w:tc>
          <w:tcPr>
            <w:tcW w:w="1062" w:type="dxa"/>
            <w:vAlign w:val="center"/>
          </w:tcPr>
          <w:p w14:paraId="444BA199" w14:textId="77777777" w:rsidR="00640E17" w:rsidRPr="00B8278C" w:rsidRDefault="00640E17" w:rsidP="00EC0997">
            <w:pPr>
              <w:pStyle w:val="TableText"/>
              <w:jc w:val="center"/>
            </w:pPr>
            <w:r w:rsidRPr="00B8278C">
              <w:t>50 ft</w:t>
            </w:r>
          </w:p>
        </w:tc>
        <w:tc>
          <w:tcPr>
            <w:tcW w:w="1062" w:type="dxa"/>
            <w:vAlign w:val="center"/>
          </w:tcPr>
          <w:p w14:paraId="24833AAF" w14:textId="756E5BDE" w:rsidR="00640E17" w:rsidRDefault="00640E17" w:rsidP="00EC0997">
            <w:pPr>
              <w:pStyle w:val="TableText"/>
              <w:jc w:val="center"/>
            </w:pPr>
            <w:r>
              <w:t>4</w:t>
            </w:r>
            <w:r>
              <w:t>0</w:t>
            </w:r>
            <w:r>
              <w:t xml:space="preserve"> ft</w:t>
            </w:r>
          </w:p>
        </w:tc>
        <w:tc>
          <w:tcPr>
            <w:tcW w:w="1063" w:type="dxa"/>
            <w:vAlign w:val="center"/>
          </w:tcPr>
          <w:p w14:paraId="596F05B8" w14:textId="052EA8E6" w:rsidR="00640E17" w:rsidRDefault="00640E17" w:rsidP="00EC0997">
            <w:pPr>
              <w:pStyle w:val="TableText"/>
              <w:jc w:val="center"/>
            </w:pPr>
            <w:r>
              <w:t>35</w:t>
            </w:r>
            <w:r>
              <w:t xml:space="preserve"> ft</w:t>
            </w:r>
          </w:p>
        </w:tc>
        <w:tc>
          <w:tcPr>
            <w:tcW w:w="955" w:type="dxa"/>
            <w:vAlign w:val="center"/>
          </w:tcPr>
          <w:p w14:paraId="133B3BE3" w14:textId="58FFD746" w:rsidR="00640E17" w:rsidRPr="00B8278C" w:rsidRDefault="00640E17" w:rsidP="00EC0997">
            <w:pPr>
              <w:pStyle w:val="TableText"/>
              <w:jc w:val="center"/>
            </w:pPr>
            <w:r w:rsidRPr="00B8278C">
              <w:t>2</w:t>
            </w:r>
            <w:r>
              <w:t>0</w:t>
            </w:r>
            <w:r w:rsidRPr="00B8278C">
              <w:t xml:space="preserve"> ft</w:t>
            </w:r>
          </w:p>
        </w:tc>
        <w:tc>
          <w:tcPr>
            <w:tcW w:w="955" w:type="dxa"/>
            <w:vAlign w:val="center"/>
          </w:tcPr>
          <w:p w14:paraId="62753759" w14:textId="15CBAA98" w:rsidR="00640E17" w:rsidRDefault="00640E17" w:rsidP="00EC0997">
            <w:pPr>
              <w:pStyle w:val="TableText"/>
              <w:jc w:val="center"/>
            </w:pPr>
            <w:r>
              <w:t>2</w:t>
            </w:r>
            <w:r>
              <w:t>0</w:t>
            </w:r>
            <w:r>
              <w:t xml:space="preserve"> ft</w:t>
            </w:r>
          </w:p>
        </w:tc>
        <w:tc>
          <w:tcPr>
            <w:tcW w:w="955" w:type="dxa"/>
            <w:vAlign w:val="center"/>
          </w:tcPr>
          <w:p w14:paraId="45D940E6" w14:textId="415C4529" w:rsidR="00640E17" w:rsidRPr="00B8278C" w:rsidRDefault="00640E17" w:rsidP="00EC0997">
            <w:pPr>
              <w:pStyle w:val="TableText"/>
              <w:jc w:val="center"/>
            </w:pPr>
            <w:r w:rsidRPr="00B8278C">
              <w:t>20 ft</w:t>
            </w:r>
            <w:r>
              <w:t>*</w:t>
            </w:r>
          </w:p>
        </w:tc>
      </w:tr>
      <w:tr w:rsidR="00640E17" w14:paraId="7278B0D7" w14:textId="77777777" w:rsidTr="00EC0997">
        <w:tc>
          <w:tcPr>
            <w:tcW w:w="3278" w:type="dxa"/>
            <w:shd w:val="clear" w:color="auto" w:fill="F2F2F2" w:themeFill="background1" w:themeFillShade="F2"/>
            <w:vAlign w:val="center"/>
          </w:tcPr>
          <w:p w14:paraId="7FCEE2B6" w14:textId="77777777" w:rsidR="00640E17" w:rsidRDefault="00640E17" w:rsidP="00EC0997">
            <w:pPr>
              <w:pStyle w:val="TableText"/>
            </w:pPr>
            <w:r>
              <w:t>Side Yard, for buildings up to 1.5 stories</w:t>
            </w:r>
          </w:p>
        </w:tc>
        <w:tc>
          <w:tcPr>
            <w:tcW w:w="1062" w:type="dxa"/>
            <w:vAlign w:val="center"/>
          </w:tcPr>
          <w:p w14:paraId="3EDC4E43" w14:textId="77777777" w:rsidR="00640E17" w:rsidRPr="00B8278C" w:rsidRDefault="00640E17" w:rsidP="00EC0997">
            <w:pPr>
              <w:pStyle w:val="TableText"/>
              <w:jc w:val="center"/>
            </w:pPr>
            <w:r w:rsidRPr="00B8278C">
              <w:t>20 ft</w:t>
            </w:r>
          </w:p>
        </w:tc>
        <w:tc>
          <w:tcPr>
            <w:tcW w:w="1062" w:type="dxa"/>
            <w:vAlign w:val="center"/>
          </w:tcPr>
          <w:p w14:paraId="24B33AC8" w14:textId="77777777" w:rsidR="00640E17" w:rsidRDefault="00640E17" w:rsidP="00EC0997">
            <w:pPr>
              <w:pStyle w:val="TableText"/>
              <w:jc w:val="center"/>
            </w:pPr>
            <w:r>
              <w:t>10 ft</w:t>
            </w:r>
          </w:p>
        </w:tc>
        <w:tc>
          <w:tcPr>
            <w:tcW w:w="1063" w:type="dxa"/>
            <w:vAlign w:val="center"/>
          </w:tcPr>
          <w:p w14:paraId="0AE2C75A" w14:textId="77777777" w:rsidR="00640E17" w:rsidRDefault="00640E17" w:rsidP="00EC0997">
            <w:pPr>
              <w:pStyle w:val="TableText"/>
              <w:jc w:val="center"/>
            </w:pPr>
            <w:r>
              <w:t>10 ft</w:t>
            </w:r>
          </w:p>
        </w:tc>
        <w:tc>
          <w:tcPr>
            <w:tcW w:w="955" w:type="dxa"/>
            <w:vAlign w:val="center"/>
          </w:tcPr>
          <w:p w14:paraId="3906801E" w14:textId="77777777" w:rsidR="00640E17" w:rsidRPr="00B8278C" w:rsidRDefault="00640E17" w:rsidP="00EC0997">
            <w:pPr>
              <w:pStyle w:val="TableText"/>
              <w:jc w:val="center"/>
            </w:pPr>
            <w:r w:rsidRPr="00B8278C">
              <w:t>10 ft</w:t>
            </w:r>
          </w:p>
        </w:tc>
        <w:tc>
          <w:tcPr>
            <w:tcW w:w="955" w:type="dxa"/>
            <w:vAlign w:val="center"/>
          </w:tcPr>
          <w:p w14:paraId="496DD01F" w14:textId="77777777" w:rsidR="00640E17" w:rsidRDefault="00640E17" w:rsidP="00EC0997">
            <w:pPr>
              <w:pStyle w:val="TableText"/>
              <w:jc w:val="center"/>
            </w:pPr>
            <w:r>
              <w:t>10 ft</w:t>
            </w:r>
          </w:p>
        </w:tc>
        <w:tc>
          <w:tcPr>
            <w:tcW w:w="955" w:type="dxa"/>
            <w:vAlign w:val="center"/>
          </w:tcPr>
          <w:p w14:paraId="14D60B35" w14:textId="77777777" w:rsidR="00640E17" w:rsidRDefault="00640E17" w:rsidP="00EC0997">
            <w:pPr>
              <w:pStyle w:val="TableText"/>
              <w:jc w:val="center"/>
            </w:pPr>
            <w:r>
              <w:t>n/a</w:t>
            </w:r>
          </w:p>
        </w:tc>
      </w:tr>
      <w:tr w:rsidR="00640E17" w14:paraId="46352F96" w14:textId="77777777" w:rsidTr="00EC0997">
        <w:tc>
          <w:tcPr>
            <w:tcW w:w="3278" w:type="dxa"/>
            <w:shd w:val="clear" w:color="auto" w:fill="F2F2F2" w:themeFill="background1" w:themeFillShade="F2"/>
            <w:vAlign w:val="center"/>
          </w:tcPr>
          <w:p w14:paraId="1B2517FA" w14:textId="77777777" w:rsidR="00640E17" w:rsidRDefault="00640E17" w:rsidP="00EC0997">
            <w:pPr>
              <w:pStyle w:val="TableText"/>
            </w:pPr>
            <w:r>
              <w:t>Side Yard, for buildings over 1.5 stories</w:t>
            </w:r>
          </w:p>
        </w:tc>
        <w:tc>
          <w:tcPr>
            <w:tcW w:w="1062" w:type="dxa"/>
            <w:vAlign w:val="center"/>
          </w:tcPr>
          <w:p w14:paraId="79158CA3" w14:textId="77777777" w:rsidR="00640E17" w:rsidRPr="00B8278C" w:rsidRDefault="00640E17" w:rsidP="00EC0997">
            <w:pPr>
              <w:pStyle w:val="TableText"/>
              <w:jc w:val="center"/>
            </w:pPr>
            <w:r w:rsidRPr="00B8278C">
              <w:t>20 ft</w:t>
            </w:r>
          </w:p>
        </w:tc>
        <w:tc>
          <w:tcPr>
            <w:tcW w:w="1062" w:type="dxa"/>
            <w:vAlign w:val="center"/>
          </w:tcPr>
          <w:p w14:paraId="4AC1399B" w14:textId="77777777" w:rsidR="00640E17" w:rsidRDefault="00640E17" w:rsidP="00EC0997">
            <w:pPr>
              <w:pStyle w:val="TableText"/>
              <w:jc w:val="center"/>
            </w:pPr>
            <w:r>
              <w:t>12 ft</w:t>
            </w:r>
          </w:p>
        </w:tc>
        <w:tc>
          <w:tcPr>
            <w:tcW w:w="1063" w:type="dxa"/>
            <w:vAlign w:val="center"/>
          </w:tcPr>
          <w:p w14:paraId="71CBDAD4" w14:textId="77777777" w:rsidR="00640E17" w:rsidRDefault="00640E17" w:rsidP="00EC0997">
            <w:pPr>
              <w:pStyle w:val="TableText"/>
              <w:jc w:val="center"/>
            </w:pPr>
            <w:r>
              <w:t>12 ft</w:t>
            </w:r>
          </w:p>
        </w:tc>
        <w:tc>
          <w:tcPr>
            <w:tcW w:w="955" w:type="dxa"/>
            <w:vAlign w:val="center"/>
          </w:tcPr>
          <w:p w14:paraId="3496E9F5" w14:textId="77777777" w:rsidR="00640E17" w:rsidRPr="00B8278C" w:rsidRDefault="00640E17" w:rsidP="00EC0997">
            <w:pPr>
              <w:pStyle w:val="TableText"/>
              <w:jc w:val="center"/>
            </w:pPr>
            <w:r w:rsidRPr="00B8278C">
              <w:t>12 ft</w:t>
            </w:r>
          </w:p>
        </w:tc>
        <w:tc>
          <w:tcPr>
            <w:tcW w:w="955" w:type="dxa"/>
            <w:vAlign w:val="center"/>
          </w:tcPr>
          <w:p w14:paraId="1C9A280F" w14:textId="77777777" w:rsidR="00640E17" w:rsidRDefault="00640E17" w:rsidP="00EC0997">
            <w:pPr>
              <w:pStyle w:val="TableText"/>
              <w:jc w:val="center"/>
            </w:pPr>
            <w:r>
              <w:t>10 ft</w:t>
            </w:r>
          </w:p>
        </w:tc>
        <w:tc>
          <w:tcPr>
            <w:tcW w:w="955" w:type="dxa"/>
            <w:vAlign w:val="center"/>
          </w:tcPr>
          <w:p w14:paraId="60FF88EF" w14:textId="77777777" w:rsidR="00640E17" w:rsidRDefault="00640E17" w:rsidP="00EC0997">
            <w:pPr>
              <w:pStyle w:val="TableText"/>
              <w:jc w:val="center"/>
            </w:pPr>
            <w:r>
              <w:t>n/a</w:t>
            </w:r>
          </w:p>
        </w:tc>
      </w:tr>
      <w:tr w:rsidR="00640E17" w:rsidRPr="00B8278C" w14:paraId="6ABB0ABE" w14:textId="77777777" w:rsidTr="00EC0997">
        <w:tc>
          <w:tcPr>
            <w:tcW w:w="3278" w:type="dxa"/>
            <w:shd w:val="clear" w:color="auto" w:fill="F2F2F2" w:themeFill="background1" w:themeFillShade="F2"/>
            <w:vAlign w:val="center"/>
          </w:tcPr>
          <w:p w14:paraId="016F6384" w14:textId="77777777" w:rsidR="00640E17" w:rsidRDefault="00640E17" w:rsidP="00EC0997">
            <w:pPr>
              <w:pStyle w:val="TableText"/>
            </w:pPr>
            <w:r>
              <w:t>Maximum Impervious Surface Area</w:t>
            </w:r>
          </w:p>
        </w:tc>
        <w:tc>
          <w:tcPr>
            <w:tcW w:w="1062" w:type="dxa"/>
            <w:vAlign w:val="center"/>
          </w:tcPr>
          <w:p w14:paraId="29496026" w14:textId="77777777" w:rsidR="00640E17" w:rsidRPr="00B8278C" w:rsidRDefault="00640E17" w:rsidP="00EC0997">
            <w:pPr>
              <w:pStyle w:val="TableText"/>
              <w:jc w:val="center"/>
            </w:pPr>
            <w:r w:rsidRPr="00B8278C">
              <w:t>25%</w:t>
            </w:r>
          </w:p>
        </w:tc>
        <w:tc>
          <w:tcPr>
            <w:tcW w:w="1062" w:type="dxa"/>
            <w:vAlign w:val="center"/>
          </w:tcPr>
          <w:p w14:paraId="7EFA5730" w14:textId="77777777" w:rsidR="00640E17" w:rsidRPr="00B8278C" w:rsidRDefault="00640E17" w:rsidP="00EC0997">
            <w:pPr>
              <w:pStyle w:val="TableText"/>
              <w:jc w:val="center"/>
            </w:pPr>
            <w:r w:rsidRPr="00B8278C">
              <w:t>30%</w:t>
            </w:r>
          </w:p>
        </w:tc>
        <w:tc>
          <w:tcPr>
            <w:tcW w:w="1063" w:type="dxa"/>
            <w:vAlign w:val="center"/>
          </w:tcPr>
          <w:p w14:paraId="64EFB96B" w14:textId="77777777" w:rsidR="00640E17" w:rsidRDefault="00640E17" w:rsidP="00EC0997">
            <w:pPr>
              <w:pStyle w:val="TableText"/>
              <w:jc w:val="center"/>
            </w:pPr>
            <w:r>
              <w:t>30%</w:t>
            </w:r>
          </w:p>
        </w:tc>
        <w:tc>
          <w:tcPr>
            <w:tcW w:w="955" w:type="dxa"/>
            <w:vAlign w:val="center"/>
          </w:tcPr>
          <w:p w14:paraId="5BA93288" w14:textId="77777777" w:rsidR="00640E17" w:rsidRPr="00B8278C" w:rsidRDefault="00640E17" w:rsidP="00EC0997">
            <w:pPr>
              <w:pStyle w:val="TableText"/>
              <w:jc w:val="center"/>
            </w:pPr>
            <w:r w:rsidRPr="00B8278C">
              <w:t>50%</w:t>
            </w:r>
          </w:p>
        </w:tc>
        <w:tc>
          <w:tcPr>
            <w:tcW w:w="955" w:type="dxa"/>
            <w:vAlign w:val="center"/>
          </w:tcPr>
          <w:p w14:paraId="0504847F" w14:textId="77777777" w:rsidR="00640E17" w:rsidRDefault="00640E17" w:rsidP="00EC0997">
            <w:pPr>
              <w:pStyle w:val="TableText"/>
              <w:jc w:val="center"/>
            </w:pPr>
            <w:r>
              <w:t>60%</w:t>
            </w:r>
          </w:p>
        </w:tc>
        <w:tc>
          <w:tcPr>
            <w:tcW w:w="955" w:type="dxa"/>
            <w:vAlign w:val="center"/>
          </w:tcPr>
          <w:p w14:paraId="195B9DA2" w14:textId="77777777" w:rsidR="00640E17" w:rsidRPr="00B8278C" w:rsidRDefault="00640E17" w:rsidP="00EC0997">
            <w:pPr>
              <w:pStyle w:val="TableText"/>
              <w:jc w:val="center"/>
            </w:pPr>
            <w:r w:rsidRPr="00B8278C">
              <w:t>80%</w:t>
            </w:r>
          </w:p>
        </w:tc>
      </w:tr>
      <w:tr w:rsidR="00640E17" w14:paraId="2284C1D0" w14:textId="77777777" w:rsidTr="00EC0997">
        <w:tc>
          <w:tcPr>
            <w:tcW w:w="3278" w:type="dxa"/>
            <w:shd w:val="clear" w:color="auto" w:fill="F2F2F2" w:themeFill="background1" w:themeFillShade="F2"/>
            <w:vAlign w:val="center"/>
          </w:tcPr>
          <w:p w14:paraId="24981263" w14:textId="77777777" w:rsidR="00640E17" w:rsidRDefault="00640E17" w:rsidP="00EC0997">
            <w:pPr>
              <w:pStyle w:val="TableText"/>
            </w:pPr>
            <w:r>
              <w:t>Maximum Building Height</w:t>
            </w:r>
          </w:p>
        </w:tc>
        <w:tc>
          <w:tcPr>
            <w:tcW w:w="1062" w:type="dxa"/>
            <w:vAlign w:val="center"/>
          </w:tcPr>
          <w:p w14:paraId="79062100" w14:textId="77777777" w:rsidR="00640E17" w:rsidRPr="00B8278C" w:rsidRDefault="00640E17" w:rsidP="00EC0997">
            <w:pPr>
              <w:pStyle w:val="TableText"/>
              <w:jc w:val="center"/>
            </w:pPr>
            <w:r w:rsidRPr="00B8278C">
              <w:t>2.5 stories or 35 ft</w:t>
            </w:r>
          </w:p>
        </w:tc>
        <w:tc>
          <w:tcPr>
            <w:tcW w:w="1062" w:type="dxa"/>
            <w:vAlign w:val="center"/>
          </w:tcPr>
          <w:p w14:paraId="7B2CF050" w14:textId="77777777" w:rsidR="00640E17" w:rsidRDefault="00640E17" w:rsidP="00EC0997">
            <w:pPr>
              <w:pStyle w:val="TableText"/>
              <w:jc w:val="center"/>
            </w:pPr>
            <w:r>
              <w:t>2.5 stories or 35 ft</w:t>
            </w:r>
          </w:p>
        </w:tc>
        <w:tc>
          <w:tcPr>
            <w:tcW w:w="1063" w:type="dxa"/>
            <w:vAlign w:val="center"/>
          </w:tcPr>
          <w:p w14:paraId="060C1BE3" w14:textId="77777777" w:rsidR="00640E17" w:rsidRDefault="00640E17" w:rsidP="00EC0997">
            <w:pPr>
              <w:pStyle w:val="TableText"/>
              <w:jc w:val="center"/>
            </w:pPr>
            <w:r>
              <w:t>2.5 stories or 35 ft</w:t>
            </w:r>
          </w:p>
        </w:tc>
        <w:tc>
          <w:tcPr>
            <w:tcW w:w="955" w:type="dxa"/>
            <w:vAlign w:val="center"/>
          </w:tcPr>
          <w:p w14:paraId="19967975" w14:textId="77777777" w:rsidR="00640E17" w:rsidRPr="00B8278C" w:rsidRDefault="00640E17" w:rsidP="00EC0997">
            <w:pPr>
              <w:pStyle w:val="TableText"/>
              <w:jc w:val="center"/>
            </w:pPr>
            <w:r w:rsidRPr="00B8278C">
              <w:t>2.5 stories or 35 ft</w:t>
            </w:r>
          </w:p>
        </w:tc>
        <w:tc>
          <w:tcPr>
            <w:tcW w:w="955" w:type="dxa"/>
            <w:vAlign w:val="center"/>
          </w:tcPr>
          <w:p w14:paraId="3CBE3480" w14:textId="77777777" w:rsidR="00640E17" w:rsidRPr="00B8278C" w:rsidRDefault="00640E17" w:rsidP="00EC0997">
            <w:pPr>
              <w:pStyle w:val="TableText"/>
              <w:jc w:val="center"/>
            </w:pPr>
            <w:r w:rsidRPr="00B8278C">
              <w:t>2.5 stories or 35 ft</w:t>
            </w:r>
          </w:p>
        </w:tc>
        <w:tc>
          <w:tcPr>
            <w:tcW w:w="955" w:type="dxa"/>
            <w:vAlign w:val="center"/>
          </w:tcPr>
          <w:p w14:paraId="67F0F8C6" w14:textId="77777777" w:rsidR="00640E17" w:rsidRDefault="00640E17" w:rsidP="00EC0997">
            <w:pPr>
              <w:pStyle w:val="TableText"/>
              <w:jc w:val="center"/>
            </w:pPr>
            <w:r>
              <w:t>2.5 stories or 25 ft</w:t>
            </w:r>
          </w:p>
        </w:tc>
      </w:tr>
    </w:tbl>
    <w:p w14:paraId="1C520F26" w14:textId="7442701D" w:rsidR="00640E17" w:rsidRPr="00640E17" w:rsidRDefault="00640E17" w:rsidP="00640E17">
      <w:pPr>
        <w:pStyle w:val="Hd2Subtext"/>
        <w:rPr>
          <w:rFonts w:ascii="Times New Roman" w:hAnsi="Times New Roman"/>
          <w:sz w:val="24"/>
        </w:rPr>
      </w:pPr>
      <w:r>
        <w:rPr>
          <w:rFonts w:ascii="Times New Roman" w:hAnsi="Times New Roman"/>
          <w:b/>
          <w:bCs/>
          <w:sz w:val="24"/>
        </w:rPr>
        <w:tab/>
      </w:r>
      <w:r w:rsidRPr="00640E17">
        <w:rPr>
          <w:rFonts w:ascii="Times New Roman" w:hAnsi="Times New Roman"/>
          <w:sz w:val="24"/>
        </w:rPr>
        <w:t>*If not parking in rear of unit</w:t>
      </w:r>
    </w:p>
    <w:p w14:paraId="29628D1A" w14:textId="77777777" w:rsidR="00640E17" w:rsidRPr="008F641C" w:rsidRDefault="00640E17" w:rsidP="00640E17">
      <w:pPr>
        <w:pStyle w:val="Hd2Subtext"/>
        <w:rPr>
          <w:rFonts w:ascii="Times New Roman" w:hAnsi="Times New Roman"/>
          <w:b/>
          <w:bCs/>
          <w:sz w:val="24"/>
        </w:rPr>
      </w:pPr>
    </w:p>
    <w:p w14:paraId="131BE120" w14:textId="77777777" w:rsidR="00640E17" w:rsidRPr="008F641C" w:rsidRDefault="00640E17" w:rsidP="00640E17">
      <w:pPr>
        <w:spacing w:line="360" w:lineRule="auto"/>
        <w:ind w:firstLine="720"/>
        <w:jc w:val="both"/>
      </w:pPr>
      <w:r w:rsidRPr="008F641C">
        <w:t>Section 2.</w:t>
      </w:r>
      <w:r w:rsidRPr="008F641C">
        <w:tab/>
        <w:t>This Ordinance shall become effective upon passage by the Council and by advertising as required by law.</w:t>
      </w:r>
    </w:p>
    <w:p w14:paraId="2F984492" w14:textId="77777777" w:rsidR="00640E17" w:rsidRPr="008F641C" w:rsidRDefault="00640E17" w:rsidP="00640E17">
      <w:pPr>
        <w:spacing w:line="360" w:lineRule="auto"/>
        <w:ind w:firstLine="720"/>
        <w:jc w:val="both"/>
      </w:pPr>
      <w:r w:rsidRPr="008F641C">
        <w:t>APPROVED and ADOPTED this ____ day of _____________, 2026.</w:t>
      </w:r>
    </w:p>
    <w:p w14:paraId="7F8B5480" w14:textId="77777777" w:rsidR="00640E17" w:rsidRPr="008F641C" w:rsidRDefault="00640E17" w:rsidP="00640E17">
      <w:pPr>
        <w:spacing w:line="360" w:lineRule="auto"/>
        <w:ind w:firstLine="720"/>
        <w:jc w:val="both"/>
      </w:pPr>
      <w:r w:rsidRPr="008F641C">
        <w:t>CITY COUNCIL OF THE CITY OF OXFORD, ALABAMA</w:t>
      </w:r>
    </w:p>
    <w:p w14:paraId="1F35ACEF" w14:textId="77777777" w:rsidR="00640E17" w:rsidRPr="008F641C" w:rsidRDefault="00640E17" w:rsidP="00640E17">
      <w:pPr>
        <w:spacing w:line="360" w:lineRule="auto"/>
        <w:ind w:firstLine="720"/>
        <w:jc w:val="both"/>
      </w:pPr>
      <w:r w:rsidRPr="008F641C">
        <w:t>Chris Spurlin, Council President; Phil Gardner, Charlotte Hubbard, Mike Henderson, Steven Waits, Councilmembers</w:t>
      </w:r>
    </w:p>
    <w:p w14:paraId="69381F2B" w14:textId="77777777" w:rsidR="00640E17" w:rsidRPr="008F641C" w:rsidRDefault="00640E17" w:rsidP="00640E17">
      <w:pPr>
        <w:spacing w:line="360" w:lineRule="auto"/>
        <w:jc w:val="both"/>
      </w:pPr>
      <w:r w:rsidRPr="008F641C">
        <w:t>Approved Alton Craft, Mayor;  Attest: Alan B. Atkinson, City Clerk</w:t>
      </w:r>
    </w:p>
    <w:p w14:paraId="2910A65D" w14:textId="77777777" w:rsidR="00640E17" w:rsidRPr="008F641C" w:rsidRDefault="00640E17" w:rsidP="00640E17">
      <w:r w:rsidRPr="008F641C">
        <w:t xml:space="preserve">Dated this 15th day of May, 2026.  </w:t>
      </w:r>
    </w:p>
    <w:p w14:paraId="7ECB0D48" w14:textId="77777777" w:rsidR="00640E17" w:rsidRPr="008F641C" w:rsidRDefault="00640E17" w:rsidP="00640E17"/>
    <w:p w14:paraId="4EC978A5" w14:textId="77777777" w:rsidR="00640E17" w:rsidRPr="008F641C" w:rsidRDefault="00640E17" w:rsidP="00640E17">
      <w:r w:rsidRPr="008F641C">
        <w:t>The City of Oxford, Alabama, Alan Atkinson, City Clerk.</w:t>
      </w:r>
    </w:p>
    <w:p w14:paraId="22262497" w14:textId="77777777" w:rsidR="00640E17" w:rsidRPr="008F641C" w:rsidRDefault="00640E17" w:rsidP="00640E17"/>
    <w:p w14:paraId="4DE36D18"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3423"/>
    <w:multiLevelType w:val="hybridMultilevel"/>
    <w:tmpl w:val="C316C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718FC"/>
    <w:multiLevelType w:val="hybridMultilevel"/>
    <w:tmpl w:val="D18A3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1191B"/>
    <w:multiLevelType w:val="hybridMultilevel"/>
    <w:tmpl w:val="44CA5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E6C1A"/>
    <w:multiLevelType w:val="hybridMultilevel"/>
    <w:tmpl w:val="34B09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2444F"/>
    <w:multiLevelType w:val="hybridMultilevel"/>
    <w:tmpl w:val="DD1AAC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72C54"/>
    <w:multiLevelType w:val="hybridMultilevel"/>
    <w:tmpl w:val="B9E637D4"/>
    <w:lvl w:ilvl="0" w:tplc="09B272C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E53C5"/>
    <w:multiLevelType w:val="hybridMultilevel"/>
    <w:tmpl w:val="A1DC22B0"/>
    <w:lvl w:ilvl="0" w:tplc="3D788E88">
      <w:start w:val="1"/>
      <w:numFmt w:val="decimal"/>
      <w:lvlText w:val="%1."/>
      <w:lvlJc w:val="left"/>
      <w:pPr>
        <w:ind w:left="720" w:hanging="360"/>
      </w:pPr>
      <w:rPr>
        <w:rFonts w:hint="default"/>
        <w:b/>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004562">
    <w:abstractNumId w:val="0"/>
  </w:num>
  <w:num w:numId="2" w16cid:durableId="1381898822">
    <w:abstractNumId w:val="3"/>
  </w:num>
  <w:num w:numId="3" w16cid:durableId="110364433">
    <w:abstractNumId w:val="6"/>
  </w:num>
  <w:num w:numId="4" w16cid:durableId="227424022">
    <w:abstractNumId w:val="5"/>
  </w:num>
  <w:num w:numId="5" w16cid:durableId="2008240092">
    <w:abstractNumId w:val="1"/>
  </w:num>
  <w:num w:numId="6" w16cid:durableId="6323814">
    <w:abstractNumId w:val="4"/>
  </w:num>
  <w:num w:numId="7" w16cid:durableId="200377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17"/>
    <w:rsid w:val="001F4B0E"/>
    <w:rsid w:val="00632D45"/>
    <w:rsid w:val="00640E17"/>
    <w:rsid w:val="00660630"/>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FBF8"/>
  <w15:chartTrackingRefBased/>
  <w15:docId w15:val="{15D47CD3-45DF-4F22-A44A-8C447EAB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17"/>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0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40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40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E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E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E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E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40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40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E17"/>
    <w:rPr>
      <w:rFonts w:eastAsiaTheme="majorEastAsia" w:cstheme="majorBidi"/>
      <w:color w:val="272727" w:themeColor="text1" w:themeTint="D8"/>
    </w:rPr>
  </w:style>
  <w:style w:type="paragraph" w:styleId="Title">
    <w:name w:val="Title"/>
    <w:basedOn w:val="Normal"/>
    <w:next w:val="Normal"/>
    <w:link w:val="TitleChar"/>
    <w:uiPriority w:val="10"/>
    <w:qFormat/>
    <w:rsid w:val="00640E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E17"/>
    <w:pPr>
      <w:spacing w:before="160"/>
      <w:jc w:val="center"/>
    </w:pPr>
    <w:rPr>
      <w:i/>
      <w:iCs/>
      <w:color w:val="404040" w:themeColor="text1" w:themeTint="BF"/>
    </w:rPr>
  </w:style>
  <w:style w:type="character" w:customStyle="1" w:styleId="QuoteChar">
    <w:name w:val="Quote Char"/>
    <w:basedOn w:val="DefaultParagraphFont"/>
    <w:link w:val="Quote"/>
    <w:uiPriority w:val="29"/>
    <w:rsid w:val="00640E17"/>
    <w:rPr>
      <w:i/>
      <w:iCs/>
      <w:color w:val="404040" w:themeColor="text1" w:themeTint="BF"/>
    </w:rPr>
  </w:style>
  <w:style w:type="paragraph" w:styleId="ListParagraph">
    <w:name w:val="List Paragraph"/>
    <w:basedOn w:val="Normal"/>
    <w:uiPriority w:val="34"/>
    <w:qFormat/>
    <w:rsid w:val="00640E17"/>
    <w:pPr>
      <w:ind w:left="720"/>
      <w:contextualSpacing/>
    </w:pPr>
  </w:style>
  <w:style w:type="character" w:styleId="IntenseEmphasis">
    <w:name w:val="Intense Emphasis"/>
    <w:basedOn w:val="DefaultParagraphFont"/>
    <w:uiPriority w:val="21"/>
    <w:qFormat/>
    <w:rsid w:val="00640E17"/>
    <w:rPr>
      <w:i/>
      <w:iCs/>
      <w:color w:val="0F4761" w:themeColor="accent1" w:themeShade="BF"/>
    </w:rPr>
  </w:style>
  <w:style w:type="paragraph" w:styleId="IntenseQuote">
    <w:name w:val="Intense Quote"/>
    <w:basedOn w:val="Normal"/>
    <w:next w:val="Normal"/>
    <w:link w:val="IntenseQuoteChar"/>
    <w:uiPriority w:val="30"/>
    <w:qFormat/>
    <w:rsid w:val="00640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E17"/>
    <w:rPr>
      <w:i/>
      <w:iCs/>
      <w:color w:val="0F4761" w:themeColor="accent1" w:themeShade="BF"/>
    </w:rPr>
  </w:style>
  <w:style w:type="character" w:styleId="IntenseReference">
    <w:name w:val="Intense Reference"/>
    <w:basedOn w:val="DefaultParagraphFont"/>
    <w:uiPriority w:val="32"/>
    <w:qFormat/>
    <w:rsid w:val="00640E17"/>
    <w:rPr>
      <w:b/>
      <w:bCs/>
      <w:smallCaps/>
      <w:color w:val="0F4761" w:themeColor="accent1" w:themeShade="BF"/>
      <w:spacing w:val="5"/>
    </w:rPr>
  </w:style>
  <w:style w:type="paragraph" w:customStyle="1" w:styleId="Hd2Subtext">
    <w:name w:val="Hd 2 Subtext"/>
    <w:basedOn w:val="Normal"/>
    <w:qFormat/>
    <w:rsid w:val="00640E17"/>
    <w:pPr>
      <w:widowControl/>
      <w:autoSpaceDE/>
      <w:autoSpaceDN/>
      <w:adjustRightInd/>
      <w:spacing w:after="120" w:line="252" w:lineRule="auto"/>
    </w:pPr>
    <w:rPr>
      <w:rFonts w:asciiTheme="minorHAnsi" w:eastAsiaTheme="minorHAnsi" w:hAnsiTheme="minorHAnsi"/>
      <w:sz w:val="22"/>
    </w:rPr>
  </w:style>
  <w:style w:type="character" w:styleId="Hyperlink">
    <w:name w:val="Hyperlink"/>
    <w:basedOn w:val="DefaultParagraphFont"/>
    <w:uiPriority w:val="99"/>
    <w:qFormat/>
    <w:rsid w:val="00640E17"/>
    <w:rPr>
      <w:color w:val="0000FF"/>
      <w:u w:val="single"/>
    </w:rPr>
  </w:style>
  <w:style w:type="paragraph" w:customStyle="1" w:styleId="TableHeader">
    <w:name w:val="Table Header"/>
    <w:basedOn w:val="Normal"/>
    <w:qFormat/>
    <w:rsid w:val="00640E17"/>
    <w:pPr>
      <w:keepNext/>
      <w:widowControl/>
      <w:autoSpaceDE/>
      <w:autoSpaceDN/>
      <w:adjustRightInd/>
      <w:spacing w:before="60" w:after="60"/>
      <w:jc w:val="center"/>
    </w:pPr>
    <w:rPr>
      <w:rFonts w:asciiTheme="minorHAnsi" w:hAnsiTheme="minorHAnsi"/>
      <w:b/>
    </w:rPr>
  </w:style>
  <w:style w:type="paragraph" w:customStyle="1" w:styleId="TableText">
    <w:name w:val="Table Text"/>
    <w:basedOn w:val="Normal"/>
    <w:qFormat/>
    <w:rsid w:val="00640E17"/>
    <w:pPr>
      <w:spacing w:before="30" w:after="30"/>
    </w:pPr>
    <w:rPr>
      <w:rFonts w:asciiTheme="minorHAnsi" w:hAnsiTheme="minorHAnsi" w:cs="Arial"/>
      <w:sz w:val="22"/>
      <w:szCs w:val="20"/>
    </w:rPr>
  </w:style>
  <w:style w:type="table" w:styleId="TableGrid">
    <w:name w:val="Table Grid"/>
    <w:basedOn w:val="TableNormal"/>
    <w:uiPriority w:val="59"/>
    <w:rsid w:val="00640E1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2026-05-14T15:38:00Z</dcterms:created>
  <dcterms:modified xsi:type="dcterms:W3CDTF">2026-05-14T15:51:00Z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2026-05-14T15:51:37Z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f8a217d5-6ad1-4717-a196-382c3d4155e3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