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3E97" w14:textId="77777777" w:rsidR="00D122F8" w:rsidRPr="008F641C" w:rsidRDefault="00D122F8" w:rsidP="00D122F8">
      <w:pPr>
        <w:tabs>
          <w:tab w:val="center" w:pos="4680"/>
        </w:tabs>
        <w:spacing w:line="360" w:lineRule="auto"/>
        <w:jc w:val="center"/>
        <w:rPr>
          <w:color w:val="000000" w:themeColor="text1"/>
        </w:rPr>
      </w:pPr>
      <w:r w:rsidRPr="008F641C">
        <w:rPr>
          <w:color w:val="000000" w:themeColor="text1"/>
        </w:rPr>
        <w:t>LEGAL NOTICE</w:t>
      </w:r>
    </w:p>
    <w:p w14:paraId="1F49D949" w14:textId="77777777" w:rsidR="00D122F8" w:rsidRPr="008F641C" w:rsidRDefault="00D122F8" w:rsidP="00D122F8">
      <w:pPr>
        <w:spacing w:after="100" w:afterAutospacing="1" w:line="360" w:lineRule="auto"/>
        <w:jc w:val="both"/>
        <w:rPr>
          <w:color w:val="000000" w:themeColor="text1"/>
        </w:rPr>
      </w:pPr>
      <w:r w:rsidRPr="008F641C">
        <w:rPr>
          <w:color w:val="000000" w:themeColor="text1"/>
        </w:rPr>
        <w:t xml:space="preserve">TAKE NOTICE THAT THE FOLLOWING PROPOSED ORDINANCE WILL BE INTRODUCED FOR PASSAGE AT THE COUNCIL MEETING OF THE OXFORD CITY COUNCIL AT ITS REGULAR MEETING ON THE   </w:t>
      </w:r>
      <w:r w:rsidRPr="008F641C">
        <w:rPr>
          <w:color w:val="000000" w:themeColor="text1"/>
          <w:u w:val="single"/>
        </w:rPr>
        <w:t xml:space="preserve"> 9th  </w:t>
      </w:r>
      <w:r w:rsidRPr="008F641C">
        <w:rPr>
          <w:color w:val="000000" w:themeColor="text1"/>
        </w:rPr>
        <w:t xml:space="preserve">  DAY OF</w:t>
      </w:r>
      <w:r w:rsidRPr="008F641C">
        <w:rPr>
          <w:color w:val="000000" w:themeColor="text1"/>
          <w:u w:val="single"/>
        </w:rPr>
        <w:t xml:space="preserve">  June  </w:t>
      </w:r>
      <w:r w:rsidRPr="008F641C">
        <w:rPr>
          <w:color w:val="000000" w:themeColor="text1"/>
        </w:rPr>
        <w:t xml:space="preserve"> 2026, AT  OXFORD CITY HALL, 145 HAMRIC DRIVE EAST, BEGINNING AT 6:30 P.M. AT THE ABOVE TIME AND PLACE.  ALL PERSONS IN OPPOSITION TO SAID PROPOSED ORDINANCE AND ALL PERSONS IN FAVOR OF SAID ORDINANCE WILL HAVE AN OPPORTUNITY TO BE HEARD AS TO THEIR POSITION PRIOR TO THE INTRODUCTION OF SAID PROPOSED ORDINANCE FOR PASSAGE BEFORE THE COUNCIL.</w:t>
      </w:r>
    </w:p>
    <w:p w14:paraId="6F21825C" w14:textId="77777777" w:rsidR="00D122F8" w:rsidRPr="008F641C" w:rsidRDefault="00D122F8" w:rsidP="00D122F8">
      <w:pPr>
        <w:tabs>
          <w:tab w:val="center" w:pos="4680"/>
        </w:tabs>
        <w:spacing w:line="360" w:lineRule="auto"/>
        <w:jc w:val="both"/>
        <w:rPr>
          <w:color w:val="000000" w:themeColor="text1"/>
        </w:rPr>
      </w:pPr>
      <w:r w:rsidRPr="008F641C">
        <w:rPr>
          <w:color w:val="000000" w:themeColor="text1"/>
        </w:rPr>
        <w:tab/>
        <w:t xml:space="preserve">PROPOSED ORDINANCE NUMBER </w:t>
      </w:r>
      <w:r w:rsidRPr="008F641C">
        <w:rPr>
          <w:color w:val="000000" w:themeColor="text1"/>
          <w:u w:val="single"/>
        </w:rPr>
        <w:t>2026-</w:t>
      </w:r>
    </w:p>
    <w:p w14:paraId="7392FBA4" w14:textId="77777777" w:rsidR="00D122F8" w:rsidRPr="008F641C" w:rsidRDefault="00D122F8" w:rsidP="00D122F8">
      <w:pPr>
        <w:rPr>
          <w:color w:val="000000" w:themeColor="text1"/>
        </w:rPr>
      </w:pPr>
    </w:p>
    <w:p w14:paraId="68CCC0AE" w14:textId="372BCEE1" w:rsidR="00D122F8" w:rsidRPr="008F641C" w:rsidRDefault="00D122F8" w:rsidP="00D122F8">
      <w:pPr>
        <w:spacing w:line="360" w:lineRule="auto"/>
        <w:ind w:firstLine="720"/>
        <w:jc w:val="both"/>
        <w:rPr>
          <w:color w:val="000000" w:themeColor="text1"/>
        </w:rPr>
      </w:pPr>
      <w:r w:rsidRPr="008F641C">
        <w:rPr>
          <w:color w:val="000000" w:themeColor="text1"/>
        </w:rPr>
        <w:t xml:space="preserve">AN ORDINANCE AMENDING THE ZONING ORDINANCE OF THE CITY OF OXFORD, ARTICLE </w:t>
      </w:r>
      <w:r w:rsidR="003025F2">
        <w:rPr>
          <w:color w:val="000000" w:themeColor="text1"/>
        </w:rPr>
        <w:t>4</w:t>
      </w:r>
      <w:r w:rsidRPr="008F641C">
        <w:rPr>
          <w:color w:val="000000" w:themeColor="text1"/>
        </w:rPr>
        <w:t xml:space="preserve">, </w:t>
      </w:r>
      <w:r w:rsidR="000069DD">
        <w:rPr>
          <w:color w:val="000000" w:themeColor="text1"/>
        </w:rPr>
        <w:t>RESIDENTIAL DISTRICTS</w:t>
      </w:r>
      <w:r w:rsidRPr="008F641C">
        <w:rPr>
          <w:color w:val="000000" w:themeColor="text1"/>
        </w:rPr>
        <w:t xml:space="preserve">, SECTION </w:t>
      </w:r>
      <w:r w:rsidR="000069DD">
        <w:rPr>
          <w:color w:val="000000" w:themeColor="text1"/>
        </w:rPr>
        <w:t>4.06</w:t>
      </w:r>
      <w:r w:rsidRPr="008F641C">
        <w:rPr>
          <w:color w:val="000000" w:themeColor="text1"/>
        </w:rPr>
        <w:t xml:space="preserve">, </w:t>
      </w:r>
      <w:r w:rsidR="00584623">
        <w:rPr>
          <w:color w:val="000000" w:themeColor="text1"/>
        </w:rPr>
        <w:t>GARDEN HOME DISTRICT</w:t>
      </w:r>
      <w:r w:rsidRPr="008F641C">
        <w:rPr>
          <w:color w:val="000000" w:themeColor="text1"/>
        </w:rPr>
        <w:t>,</w:t>
      </w:r>
      <w:r w:rsidR="00584623">
        <w:rPr>
          <w:color w:val="000000" w:themeColor="text1"/>
        </w:rPr>
        <w:t xml:space="preserve"> SECTION 4.07, </w:t>
      </w:r>
      <w:r w:rsidR="00D07C26">
        <w:rPr>
          <w:color w:val="000000" w:themeColor="text1"/>
        </w:rPr>
        <w:t>TOWNHOUSE DISTRICT</w:t>
      </w:r>
      <w:r w:rsidRPr="008F641C">
        <w:rPr>
          <w:color w:val="000000" w:themeColor="text1"/>
        </w:rPr>
        <w:t xml:space="preserve"> (ORDINANCE NO. 2017-20, 9/26/2017)</w:t>
      </w:r>
    </w:p>
    <w:p w14:paraId="1208C807" w14:textId="77777777" w:rsidR="00D122F8" w:rsidRPr="008F641C" w:rsidRDefault="00D122F8" w:rsidP="00D122F8">
      <w:pPr>
        <w:spacing w:line="360" w:lineRule="auto"/>
        <w:ind w:firstLine="720"/>
        <w:jc w:val="both"/>
        <w:rPr>
          <w:color w:val="000000" w:themeColor="text1"/>
        </w:rPr>
      </w:pPr>
    </w:p>
    <w:p w14:paraId="75EE6ED6" w14:textId="77777777" w:rsidR="00D122F8" w:rsidRPr="008F641C" w:rsidRDefault="00D122F8" w:rsidP="00D122F8">
      <w:pPr>
        <w:spacing w:line="360" w:lineRule="auto"/>
        <w:ind w:firstLine="720"/>
        <w:jc w:val="both"/>
        <w:rPr>
          <w:color w:val="000000" w:themeColor="text1"/>
        </w:rPr>
      </w:pPr>
      <w:r w:rsidRPr="008F641C">
        <w:rPr>
          <w:color w:val="000000" w:themeColor="text1"/>
        </w:rPr>
        <w:t>BE IT ORDAINED by the City Council of the City of Oxford, Alabama, as follows:</w:t>
      </w:r>
    </w:p>
    <w:p w14:paraId="571EEDB8" w14:textId="77777777" w:rsidR="00D122F8" w:rsidRPr="008F641C" w:rsidRDefault="00D122F8" w:rsidP="00D122F8">
      <w:pPr>
        <w:spacing w:line="360" w:lineRule="auto"/>
        <w:ind w:firstLine="720"/>
        <w:jc w:val="both"/>
        <w:rPr>
          <w:color w:val="000000" w:themeColor="text1"/>
        </w:rPr>
      </w:pPr>
    </w:p>
    <w:p w14:paraId="58928DEC" w14:textId="538081FD" w:rsidR="00D122F8" w:rsidRPr="008F641C" w:rsidRDefault="00D122F8" w:rsidP="00D122F8">
      <w:pPr>
        <w:spacing w:line="360" w:lineRule="auto"/>
        <w:ind w:firstLine="720"/>
        <w:jc w:val="both"/>
        <w:rPr>
          <w:color w:val="000000" w:themeColor="text1"/>
        </w:rPr>
      </w:pPr>
      <w:r w:rsidRPr="008F641C">
        <w:rPr>
          <w:color w:val="000000" w:themeColor="text1"/>
        </w:rPr>
        <w:t>SECTION 1.</w:t>
      </w:r>
      <w:r w:rsidRPr="008F641C">
        <w:rPr>
          <w:color w:val="000000" w:themeColor="text1"/>
        </w:rPr>
        <w:tab/>
        <w:t xml:space="preserve">Upon recommendation of the Planning Board of the City of Oxford the Council hereby amends Article </w:t>
      </w:r>
      <w:r w:rsidR="00690298" w:rsidRPr="008F641C">
        <w:rPr>
          <w:color w:val="000000" w:themeColor="text1"/>
        </w:rPr>
        <w:t>4</w:t>
      </w:r>
      <w:r w:rsidRPr="008F641C">
        <w:rPr>
          <w:color w:val="000000" w:themeColor="text1"/>
        </w:rPr>
        <w:t xml:space="preserve">, </w:t>
      </w:r>
      <w:r w:rsidR="00690298" w:rsidRPr="008F641C">
        <w:rPr>
          <w:color w:val="000000" w:themeColor="text1"/>
        </w:rPr>
        <w:t>Residential Districts</w:t>
      </w:r>
      <w:r w:rsidRPr="008F641C">
        <w:rPr>
          <w:color w:val="000000" w:themeColor="text1"/>
        </w:rPr>
        <w:t xml:space="preserve">, Section </w:t>
      </w:r>
      <w:r w:rsidR="00690298" w:rsidRPr="008F641C">
        <w:rPr>
          <w:color w:val="000000" w:themeColor="text1"/>
        </w:rPr>
        <w:t>4.06</w:t>
      </w:r>
      <w:r w:rsidRPr="008F641C">
        <w:rPr>
          <w:color w:val="000000" w:themeColor="text1"/>
        </w:rPr>
        <w:t xml:space="preserve">, </w:t>
      </w:r>
      <w:r w:rsidR="00690298" w:rsidRPr="008F641C">
        <w:rPr>
          <w:color w:val="000000" w:themeColor="text1"/>
        </w:rPr>
        <w:t>Garden Home District</w:t>
      </w:r>
      <w:r w:rsidRPr="008F641C">
        <w:rPr>
          <w:color w:val="000000" w:themeColor="text1"/>
        </w:rPr>
        <w:t>,</w:t>
      </w:r>
      <w:r w:rsidR="00690298" w:rsidRPr="008F641C">
        <w:rPr>
          <w:color w:val="000000" w:themeColor="text1"/>
        </w:rPr>
        <w:t xml:space="preserve"> Section 4.07, Townhouse District,</w:t>
      </w:r>
      <w:r w:rsidRPr="008F641C">
        <w:rPr>
          <w:color w:val="000000" w:themeColor="text1"/>
        </w:rPr>
        <w:t xml:space="preserve"> of the above referenced Ordinance so that it shall read in its entirety as follows:</w:t>
      </w:r>
    </w:p>
    <w:p w14:paraId="095B8E06" w14:textId="77777777" w:rsidR="00D122F8" w:rsidRPr="008F641C" w:rsidRDefault="00D122F8" w:rsidP="00D122F8">
      <w:pPr>
        <w:spacing w:line="360" w:lineRule="auto"/>
        <w:ind w:firstLine="720"/>
        <w:jc w:val="both"/>
        <w:rPr>
          <w:color w:val="000000" w:themeColor="text1"/>
        </w:rPr>
      </w:pPr>
    </w:p>
    <w:p w14:paraId="18643640" w14:textId="68E14172" w:rsidR="00D122F8" w:rsidRPr="008F641C" w:rsidRDefault="00D122F8" w:rsidP="00D122F8">
      <w:pPr>
        <w:pStyle w:val="Hd2Subtext"/>
        <w:rPr>
          <w:rFonts w:ascii="Times New Roman" w:hAnsi="Times New Roman"/>
          <w:b/>
          <w:bCs/>
          <w:sz w:val="24"/>
        </w:rPr>
      </w:pPr>
      <w:r w:rsidRPr="008F641C">
        <w:rPr>
          <w:rFonts w:ascii="Times New Roman" w:hAnsi="Times New Roman"/>
          <w:b/>
          <w:bCs/>
          <w:sz w:val="24"/>
        </w:rPr>
        <w:t xml:space="preserve">Section </w:t>
      </w:r>
      <w:r w:rsidRPr="008F641C">
        <w:rPr>
          <w:rFonts w:ascii="Times New Roman" w:hAnsi="Times New Roman"/>
          <w:b/>
          <w:bCs/>
          <w:sz w:val="24"/>
        </w:rPr>
        <w:t>4.06</w:t>
      </w:r>
      <w:r w:rsidRPr="008F641C">
        <w:rPr>
          <w:rFonts w:ascii="Times New Roman" w:hAnsi="Times New Roman"/>
          <w:b/>
          <w:bCs/>
          <w:sz w:val="24"/>
        </w:rPr>
        <w:tab/>
      </w:r>
      <w:r w:rsidRPr="008F641C">
        <w:rPr>
          <w:rFonts w:ascii="Times New Roman" w:hAnsi="Times New Roman"/>
          <w:b/>
          <w:bCs/>
          <w:sz w:val="24"/>
        </w:rPr>
        <w:t>GH  Garden Home District</w:t>
      </w:r>
    </w:p>
    <w:p w14:paraId="710AC1AD" w14:textId="77777777" w:rsidR="00D122F8" w:rsidRPr="008F641C" w:rsidRDefault="00D122F8" w:rsidP="00D122F8">
      <w:pPr>
        <w:pStyle w:val="Hd2Subtext"/>
        <w:rPr>
          <w:rFonts w:ascii="Times New Roman" w:hAnsi="Times New Roman"/>
          <w:sz w:val="24"/>
        </w:rPr>
      </w:pPr>
      <w:r w:rsidRPr="008F641C">
        <w:rPr>
          <w:rFonts w:ascii="Times New Roman" w:hAnsi="Times New Roman"/>
          <w:sz w:val="24"/>
        </w:rPr>
        <w:t>The purpose of this district is to provide and preserve land for garden home developments. The district regulations are designed to protect the residential character of these areas by prohibiting commercial and industrial activities and to encourage a suitable neighborhood environment by including among the permitted uses such facilities as parks and open spaces.</w:t>
      </w:r>
    </w:p>
    <w:p w14:paraId="44B4F5AB" w14:textId="70FC96DB" w:rsidR="00D122F8" w:rsidRPr="008F641C" w:rsidRDefault="00D122F8" w:rsidP="00D122F8">
      <w:pPr>
        <w:pStyle w:val="Heading3"/>
        <w:numPr>
          <w:ilvl w:val="0"/>
          <w:numId w:val="2"/>
        </w:numPr>
        <w:rPr>
          <w:rFonts w:cs="Times New Roman"/>
          <w:sz w:val="24"/>
          <w:szCs w:val="24"/>
        </w:rPr>
      </w:pPr>
      <w:r w:rsidRPr="008F641C">
        <w:rPr>
          <w:rFonts w:cs="Times New Roman"/>
          <w:sz w:val="24"/>
          <w:szCs w:val="24"/>
        </w:rPr>
        <w:lastRenderedPageBreak/>
        <w:t xml:space="preserve">Development Criteria.  See </w:t>
      </w:r>
      <w:hyperlink w:anchor="Tab4_2" w:history="1">
        <w:r w:rsidRPr="008F641C">
          <w:rPr>
            <w:rStyle w:val="Hyperlink"/>
            <w:rFonts w:cs="Times New Roman"/>
            <w:sz w:val="24"/>
            <w:szCs w:val="24"/>
          </w:rPr>
          <w:t>Table 4-2 Area and Dimensional Regulations, Residential Districts</w:t>
        </w:r>
      </w:hyperlink>
      <w:r w:rsidRPr="008F641C">
        <w:rPr>
          <w:rFonts w:cs="Times New Roman"/>
          <w:sz w:val="24"/>
          <w:szCs w:val="24"/>
        </w:rPr>
        <w:t xml:space="preserve"> and the following: </w:t>
      </w:r>
    </w:p>
    <w:p w14:paraId="6D4189A5" w14:textId="11FB10C6" w:rsidR="00D122F8" w:rsidRPr="008F641C" w:rsidRDefault="00D122F8" w:rsidP="00D122F8">
      <w:pPr>
        <w:pStyle w:val="Heading4"/>
        <w:numPr>
          <w:ilvl w:val="0"/>
          <w:numId w:val="3"/>
        </w:numPr>
        <w:rPr>
          <w:rFonts w:cs="Times New Roman"/>
          <w:i w:val="0"/>
          <w:iCs w:val="0"/>
        </w:rPr>
      </w:pPr>
      <w:r w:rsidRPr="008F641C">
        <w:rPr>
          <w:rFonts w:cs="Times New Roman"/>
          <w:i w:val="0"/>
          <w:iCs w:val="0"/>
        </w:rPr>
        <w:t>All properties zoned GH must be served by municipal water and sewer.</w:t>
      </w:r>
    </w:p>
    <w:p w14:paraId="064A67B2" w14:textId="7B1F2543" w:rsidR="00D122F8" w:rsidRPr="008F641C" w:rsidRDefault="00D122F8" w:rsidP="00D122F8">
      <w:pPr>
        <w:pStyle w:val="Heading4"/>
        <w:numPr>
          <w:ilvl w:val="0"/>
          <w:numId w:val="3"/>
        </w:numPr>
        <w:rPr>
          <w:rFonts w:cs="Times New Roman"/>
          <w:i w:val="0"/>
          <w:iCs w:val="0"/>
        </w:rPr>
      </w:pPr>
      <w:r w:rsidRPr="008F641C">
        <w:rPr>
          <w:rFonts w:cs="Times New Roman"/>
          <w:i w:val="0"/>
          <w:iCs w:val="0"/>
        </w:rPr>
        <w:t>Detached accessory structures are only permitted on lots having a depth of at least 120 ft. In all other cases, accessory structures must be attached to the dwelling.</w:t>
      </w:r>
    </w:p>
    <w:p w14:paraId="6F78C8BD" w14:textId="5B262B28" w:rsidR="00D122F8" w:rsidRPr="008F641C" w:rsidRDefault="00D122F8" w:rsidP="00D122F8">
      <w:pPr>
        <w:pStyle w:val="Heading4"/>
        <w:numPr>
          <w:ilvl w:val="0"/>
          <w:numId w:val="3"/>
        </w:numPr>
        <w:rPr>
          <w:rFonts w:cs="Times New Roman"/>
          <w:i w:val="0"/>
          <w:iCs w:val="0"/>
        </w:rPr>
      </w:pPr>
      <w:r w:rsidRPr="008F641C">
        <w:rPr>
          <w:rFonts w:cs="Times New Roman"/>
          <w:i w:val="0"/>
          <w:iCs w:val="0"/>
        </w:rPr>
        <w:t xml:space="preserve">Front facades must be no less than 70% masonry. Side and rear facades must be no less than 50% masonry. The area of windows and doorways is excluded from this calculation.  </w:t>
      </w:r>
    </w:p>
    <w:p w14:paraId="07B9F9E4" w14:textId="01BDDC15" w:rsidR="00D122F8" w:rsidRPr="008F641C" w:rsidRDefault="00D122F8" w:rsidP="00D122F8">
      <w:pPr>
        <w:pStyle w:val="Heading4"/>
        <w:numPr>
          <w:ilvl w:val="0"/>
          <w:numId w:val="3"/>
        </w:numPr>
        <w:rPr>
          <w:rFonts w:cs="Times New Roman"/>
          <w:i w:val="0"/>
          <w:iCs w:val="0"/>
        </w:rPr>
      </w:pPr>
      <w:r w:rsidRPr="008F641C">
        <w:rPr>
          <w:rFonts w:cs="Times New Roman"/>
          <w:i w:val="0"/>
          <w:iCs w:val="0"/>
        </w:rPr>
        <w:t xml:space="preserve">Forward of the front building line, driveways may not be wider than </w:t>
      </w:r>
      <w:r w:rsidRPr="008F641C">
        <w:rPr>
          <w:rFonts w:cs="Times New Roman"/>
          <w:i w:val="0"/>
          <w:iCs w:val="0"/>
        </w:rPr>
        <w:t>20</w:t>
      </w:r>
      <w:r w:rsidRPr="008F641C">
        <w:rPr>
          <w:rFonts w:cs="Times New Roman"/>
          <w:i w:val="0"/>
          <w:iCs w:val="0"/>
        </w:rPr>
        <w:t xml:space="preserve"> ft.</w:t>
      </w:r>
    </w:p>
    <w:p w14:paraId="29B5D79F" w14:textId="77777777" w:rsidR="007A679E" w:rsidRPr="008F641C" w:rsidRDefault="007A679E" w:rsidP="007A679E"/>
    <w:p w14:paraId="5115D415" w14:textId="77777777" w:rsidR="007A679E" w:rsidRPr="008F641C" w:rsidRDefault="007A679E" w:rsidP="007A679E"/>
    <w:p w14:paraId="4580CC78" w14:textId="4E07B448" w:rsidR="007A679E" w:rsidRPr="008F641C" w:rsidRDefault="007A679E" w:rsidP="007A679E">
      <w:pPr>
        <w:pStyle w:val="Hd2Subtext"/>
        <w:rPr>
          <w:rFonts w:ascii="Times New Roman" w:hAnsi="Times New Roman"/>
          <w:b/>
          <w:bCs/>
          <w:sz w:val="24"/>
        </w:rPr>
      </w:pPr>
      <w:r w:rsidRPr="008F641C">
        <w:rPr>
          <w:rFonts w:ascii="Times New Roman" w:hAnsi="Times New Roman"/>
          <w:b/>
          <w:bCs/>
          <w:sz w:val="24"/>
        </w:rPr>
        <w:t>Section 4.0</w:t>
      </w:r>
      <w:r w:rsidRPr="008F641C">
        <w:rPr>
          <w:rFonts w:ascii="Times New Roman" w:hAnsi="Times New Roman"/>
          <w:b/>
          <w:bCs/>
          <w:sz w:val="24"/>
        </w:rPr>
        <w:t>7</w:t>
      </w:r>
      <w:r w:rsidRPr="008F641C">
        <w:rPr>
          <w:rFonts w:ascii="Times New Roman" w:hAnsi="Times New Roman"/>
          <w:b/>
          <w:bCs/>
          <w:sz w:val="24"/>
        </w:rPr>
        <w:tab/>
      </w:r>
      <w:r w:rsidRPr="008F641C">
        <w:rPr>
          <w:rFonts w:ascii="Times New Roman" w:hAnsi="Times New Roman"/>
          <w:b/>
          <w:bCs/>
          <w:sz w:val="24"/>
        </w:rPr>
        <w:t>T</w:t>
      </w:r>
      <w:r w:rsidRPr="008F641C">
        <w:rPr>
          <w:rFonts w:ascii="Times New Roman" w:hAnsi="Times New Roman"/>
          <w:b/>
          <w:bCs/>
          <w:sz w:val="24"/>
        </w:rPr>
        <w:t xml:space="preserve">H  </w:t>
      </w:r>
      <w:r w:rsidRPr="008F641C">
        <w:rPr>
          <w:rFonts w:ascii="Times New Roman" w:hAnsi="Times New Roman"/>
          <w:b/>
          <w:bCs/>
          <w:sz w:val="24"/>
        </w:rPr>
        <w:t>Townhouse</w:t>
      </w:r>
      <w:r w:rsidRPr="008F641C">
        <w:rPr>
          <w:rFonts w:ascii="Times New Roman" w:hAnsi="Times New Roman"/>
          <w:b/>
          <w:bCs/>
          <w:sz w:val="24"/>
        </w:rPr>
        <w:t xml:space="preserve"> District</w:t>
      </w:r>
    </w:p>
    <w:p w14:paraId="1835DE70" w14:textId="77777777" w:rsidR="007A679E" w:rsidRPr="008F641C" w:rsidRDefault="007A679E" w:rsidP="007A679E">
      <w:pPr>
        <w:pStyle w:val="Hd2Subtext"/>
        <w:rPr>
          <w:rFonts w:ascii="Times New Roman" w:hAnsi="Times New Roman"/>
          <w:sz w:val="24"/>
        </w:rPr>
      </w:pPr>
      <w:r w:rsidRPr="008F641C">
        <w:rPr>
          <w:rFonts w:ascii="Times New Roman" w:hAnsi="Times New Roman"/>
          <w:sz w:val="24"/>
        </w:rPr>
        <w:t>The purpose of this district is to provide and preserve land for development of attached single family dwellings, or townhouses. The district regulations are designed to protect the residential character of these areas by prohibiting commercial and industrial activities and to encourage a suitable neighborhood environment by including among the permitted uses such facilities as parks and open spaces. It is expected that townhouse developments will offer a high level of amenities to compensate for the modest private yard space afforded on townhouse lots.</w:t>
      </w:r>
    </w:p>
    <w:p w14:paraId="469815A5" w14:textId="3252A37B" w:rsidR="007A679E" w:rsidRPr="008F641C" w:rsidRDefault="007A679E" w:rsidP="00690298">
      <w:pPr>
        <w:pStyle w:val="Heading3"/>
        <w:numPr>
          <w:ilvl w:val="0"/>
          <w:numId w:val="4"/>
        </w:numPr>
        <w:rPr>
          <w:rFonts w:cs="Times New Roman"/>
          <w:b/>
          <w:bCs/>
          <w:sz w:val="24"/>
          <w:szCs w:val="24"/>
        </w:rPr>
      </w:pPr>
      <w:r w:rsidRPr="008F641C">
        <w:rPr>
          <w:rFonts w:cs="Times New Roman"/>
          <w:b/>
          <w:bCs/>
          <w:i/>
          <w:sz w:val="24"/>
          <w:szCs w:val="24"/>
        </w:rPr>
        <w:t>Development Criteria</w:t>
      </w:r>
      <w:r w:rsidRPr="008F641C">
        <w:rPr>
          <w:rFonts w:cs="Times New Roman"/>
          <w:b/>
          <w:bCs/>
          <w:sz w:val="24"/>
          <w:szCs w:val="24"/>
        </w:rPr>
        <w:t xml:space="preserve">. </w:t>
      </w:r>
    </w:p>
    <w:p w14:paraId="23037567" w14:textId="06406D87" w:rsidR="007A679E" w:rsidRPr="008F641C" w:rsidRDefault="007A679E" w:rsidP="00690298">
      <w:pPr>
        <w:pStyle w:val="Hd2Subtext"/>
        <w:numPr>
          <w:ilvl w:val="0"/>
          <w:numId w:val="5"/>
        </w:numPr>
        <w:rPr>
          <w:rFonts w:ascii="Times New Roman" w:hAnsi="Times New Roman"/>
          <w:sz w:val="24"/>
        </w:rPr>
      </w:pPr>
      <w:r w:rsidRPr="008F641C">
        <w:rPr>
          <w:rFonts w:ascii="Times New Roman" w:hAnsi="Times New Roman"/>
          <w:i/>
          <w:sz w:val="24"/>
        </w:rPr>
        <w:t>Site requirements</w:t>
      </w:r>
      <w:r w:rsidRPr="008F641C">
        <w:rPr>
          <w:rFonts w:ascii="Times New Roman" w:hAnsi="Times New Roman"/>
          <w:sz w:val="24"/>
        </w:rPr>
        <w:t xml:space="preserve">. Townhouse development sites must contain not less than 2.5 acres. At least 75% of the development </w:t>
      </w:r>
      <w:proofErr w:type="gramStart"/>
      <w:r w:rsidRPr="008F641C">
        <w:rPr>
          <w:rFonts w:ascii="Times New Roman" w:hAnsi="Times New Roman"/>
          <w:sz w:val="24"/>
        </w:rPr>
        <w:t>site</w:t>
      </w:r>
      <w:proofErr w:type="gramEnd"/>
      <w:r w:rsidRPr="008F641C">
        <w:rPr>
          <w:rFonts w:ascii="Times New Roman" w:hAnsi="Times New Roman"/>
          <w:sz w:val="24"/>
        </w:rPr>
        <w:t xml:space="preserve"> must consist of developable land. All properties zoned TH must be served by municipal water and sewer</w:t>
      </w:r>
      <w:r w:rsidRPr="008F641C">
        <w:rPr>
          <w:rFonts w:ascii="Times New Roman" w:hAnsi="Times New Roman"/>
          <w:sz w:val="24"/>
        </w:rPr>
        <w:t>.</w:t>
      </w:r>
    </w:p>
    <w:p w14:paraId="26E8FE77" w14:textId="5292DBBA" w:rsidR="007A679E" w:rsidRPr="008F641C" w:rsidRDefault="007A679E" w:rsidP="00690298">
      <w:pPr>
        <w:pStyle w:val="Heading4"/>
        <w:numPr>
          <w:ilvl w:val="0"/>
          <w:numId w:val="5"/>
        </w:numPr>
        <w:rPr>
          <w:rFonts w:cs="Times New Roman"/>
        </w:rPr>
      </w:pPr>
      <w:r w:rsidRPr="008F641C">
        <w:rPr>
          <w:rFonts w:cs="Times New Roman"/>
        </w:rPr>
        <w:t xml:space="preserve">Maximum density. Townhouse developments may not exceed twelve units per acre. Impervious surfaces at project build-out may not exceed 60% of the development site. </w:t>
      </w:r>
    </w:p>
    <w:p w14:paraId="5376E722" w14:textId="6B1045AA" w:rsidR="007A679E" w:rsidRPr="008F641C" w:rsidRDefault="007A679E" w:rsidP="00690298">
      <w:pPr>
        <w:pStyle w:val="Heading4"/>
        <w:numPr>
          <w:ilvl w:val="0"/>
          <w:numId w:val="5"/>
        </w:numPr>
        <w:rPr>
          <w:rFonts w:cs="Times New Roman"/>
        </w:rPr>
      </w:pPr>
      <w:r w:rsidRPr="008F641C">
        <w:rPr>
          <w:rFonts w:cs="Times New Roman"/>
        </w:rPr>
        <w:t xml:space="preserve">Each attached dwelling must be located on its own separate </w:t>
      </w:r>
      <w:proofErr w:type="gramStart"/>
      <w:r w:rsidRPr="008F641C">
        <w:rPr>
          <w:rFonts w:cs="Times New Roman"/>
        </w:rPr>
        <w:t>platted</w:t>
      </w:r>
      <w:proofErr w:type="gramEnd"/>
      <w:r w:rsidRPr="008F641C">
        <w:rPr>
          <w:rFonts w:cs="Times New Roman"/>
        </w:rPr>
        <w:t xml:space="preserve"> lot. This requirement may be waived for townhouses developed in a condominium arrangement.</w:t>
      </w:r>
    </w:p>
    <w:p w14:paraId="138DDD45" w14:textId="7F921AD0" w:rsidR="007A679E" w:rsidRPr="008F641C" w:rsidRDefault="007A679E" w:rsidP="00690298">
      <w:pPr>
        <w:pStyle w:val="Heading4"/>
        <w:numPr>
          <w:ilvl w:val="0"/>
          <w:numId w:val="5"/>
        </w:numPr>
        <w:rPr>
          <w:rFonts w:cs="Times New Roman"/>
        </w:rPr>
      </w:pPr>
      <w:r w:rsidRPr="008F641C">
        <w:rPr>
          <w:rFonts w:cs="Times New Roman"/>
        </w:rPr>
        <w:t xml:space="preserve">Townhouse buildings may contain no less than three and no more than 12 attached dwelling units. A minimum spacing of </w:t>
      </w:r>
      <w:r w:rsidR="00690298" w:rsidRPr="008F641C">
        <w:rPr>
          <w:rFonts w:cs="Times New Roman"/>
        </w:rPr>
        <w:t>5</w:t>
      </w:r>
      <w:r w:rsidRPr="008F641C">
        <w:rPr>
          <w:rFonts w:cs="Times New Roman"/>
        </w:rPr>
        <w:t>0 ft must be provided between the front façade of a townhouse building and any other building façade, or between the rear facades of opposing townhouse buildings.</w:t>
      </w:r>
    </w:p>
    <w:p w14:paraId="475FD0A1" w14:textId="11CE1B04" w:rsidR="007A679E" w:rsidRPr="008F641C" w:rsidRDefault="007A679E" w:rsidP="00690298">
      <w:pPr>
        <w:pStyle w:val="Heading4"/>
        <w:numPr>
          <w:ilvl w:val="0"/>
          <w:numId w:val="5"/>
        </w:numPr>
        <w:rPr>
          <w:rFonts w:cs="Times New Roman"/>
        </w:rPr>
      </w:pPr>
      <w:r w:rsidRPr="008F641C">
        <w:rPr>
          <w:rFonts w:cs="Times New Roman"/>
        </w:rPr>
        <w:t xml:space="preserve">Area and dimensional requirements for townhouse lots. See </w:t>
      </w:r>
      <w:hyperlink w:anchor="Tab4_2" w:history="1">
        <w:r w:rsidRPr="008F641C">
          <w:rPr>
            <w:rStyle w:val="Hyperlink"/>
            <w:rFonts w:cs="Times New Roman"/>
          </w:rPr>
          <w:t>Table 4-2 Area and Dimensional Regulations, Residential Districts</w:t>
        </w:r>
      </w:hyperlink>
      <w:r w:rsidRPr="008F641C">
        <w:rPr>
          <w:rFonts w:cs="Times New Roman"/>
        </w:rPr>
        <w:t xml:space="preserve"> and the following.</w:t>
      </w:r>
    </w:p>
    <w:p w14:paraId="41D396D7" w14:textId="66F3AA58" w:rsidR="007A679E" w:rsidRPr="008F641C" w:rsidRDefault="007A679E" w:rsidP="00690298">
      <w:pPr>
        <w:pStyle w:val="Heading5"/>
        <w:numPr>
          <w:ilvl w:val="0"/>
          <w:numId w:val="6"/>
        </w:numPr>
        <w:rPr>
          <w:rFonts w:cs="Times New Roman"/>
        </w:rPr>
      </w:pPr>
      <w:r w:rsidRPr="008F641C">
        <w:rPr>
          <w:rFonts w:cs="Times New Roman"/>
        </w:rPr>
        <w:t>A side yard is only required at the unattached end of a row of townhouses, in which case the minimum width is 10 ft. When the unattached end faces a public street, the minimum setback is 15 ft.</w:t>
      </w:r>
    </w:p>
    <w:p w14:paraId="6D4E9496" w14:textId="0C538120" w:rsidR="007A679E" w:rsidRPr="008F641C" w:rsidRDefault="00690298" w:rsidP="00690298">
      <w:pPr>
        <w:pStyle w:val="Heading5"/>
        <w:ind w:firstLine="360"/>
        <w:rPr>
          <w:rFonts w:cs="Times New Roman"/>
        </w:rPr>
      </w:pPr>
      <w:r w:rsidRPr="008F641C">
        <w:rPr>
          <w:rFonts w:cs="Times New Roman"/>
        </w:rPr>
        <w:t>2)</w:t>
      </w:r>
      <w:r w:rsidRPr="008F641C">
        <w:rPr>
          <w:rFonts w:cs="Times New Roman"/>
        </w:rPr>
        <w:tab/>
      </w:r>
      <w:r w:rsidR="007A679E" w:rsidRPr="008F641C">
        <w:rPr>
          <w:rFonts w:cs="Times New Roman"/>
        </w:rPr>
        <w:t xml:space="preserve">Each townhouse must have its own yard containing not less than 400 sf, exclusive of </w:t>
      </w:r>
      <w:r w:rsidR="008F641C">
        <w:rPr>
          <w:rFonts w:cs="Times New Roman"/>
        </w:rPr>
        <w:t xml:space="preserve">  </w:t>
      </w:r>
      <w:r w:rsidR="007A679E" w:rsidRPr="008F641C">
        <w:rPr>
          <w:rFonts w:cs="Times New Roman"/>
        </w:rPr>
        <w:t>paved parking space, reasonably secluded from view from streets and from neighboring property.</w:t>
      </w:r>
    </w:p>
    <w:p w14:paraId="7AA74090" w14:textId="690CE744" w:rsidR="007A679E" w:rsidRPr="008F641C" w:rsidRDefault="00690298" w:rsidP="008F641C">
      <w:pPr>
        <w:pStyle w:val="Heading4"/>
        <w:ind w:left="360"/>
        <w:rPr>
          <w:rFonts w:cs="Times New Roman"/>
        </w:rPr>
      </w:pPr>
      <w:r w:rsidRPr="008F641C">
        <w:rPr>
          <w:rFonts w:cs="Times New Roman"/>
        </w:rPr>
        <w:t>f)</w:t>
      </w:r>
      <w:r w:rsidRPr="008F641C">
        <w:rPr>
          <w:rFonts w:cs="Times New Roman"/>
        </w:rPr>
        <w:tab/>
      </w:r>
      <w:r w:rsidR="007A679E" w:rsidRPr="008F641C">
        <w:rPr>
          <w:rFonts w:cs="Times New Roman"/>
        </w:rPr>
        <w:t>Minimum floor area. For one story dwellings, the minimum floor area is 1,000 sf. For multistory dwellings (including 1.5 stories), the minimum floor area is 1,200 sf with a minimum of 600 sf on the first floor.</w:t>
      </w:r>
    </w:p>
    <w:p w14:paraId="58EC554E" w14:textId="34DE26DB" w:rsidR="007A679E" w:rsidRPr="008F641C" w:rsidRDefault="007A679E" w:rsidP="007A679E">
      <w:pPr>
        <w:pStyle w:val="Heading4"/>
        <w:rPr>
          <w:rFonts w:cs="Times New Roman"/>
        </w:rPr>
      </w:pPr>
    </w:p>
    <w:p w14:paraId="774F9953" w14:textId="77777777" w:rsidR="007A679E" w:rsidRPr="008F641C" w:rsidRDefault="007A679E" w:rsidP="007A679E">
      <w:pPr>
        <w:pStyle w:val="Hd2Subtext"/>
        <w:rPr>
          <w:rFonts w:ascii="Times New Roman" w:hAnsi="Times New Roman"/>
          <w:b/>
          <w:bCs/>
          <w:sz w:val="24"/>
        </w:rPr>
      </w:pPr>
    </w:p>
    <w:p w14:paraId="1B4FAABA" w14:textId="40087C11" w:rsidR="007A679E" w:rsidRPr="008F641C" w:rsidRDefault="007A679E" w:rsidP="00690298">
      <w:pPr>
        <w:pStyle w:val="Heading4"/>
        <w:numPr>
          <w:ilvl w:val="0"/>
          <w:numId w:val="7"/>
        </w:numPr>
        <w:rPr>
          <w:rFonts w:cs="Times New Roman"/>
        </w:rPr>
      </w:pPr>
      <w:r w:rsidRPr="008F641C">
        <w:rPr>
          <w:rFonts w:cs="Times New Roman"/>
        </w:rPr>
        <w:lastRenderedPageBreak/>
        <w:t>Accessory Structures. Detached accessory structures are permitted only on lots having a depth of at least 120 ft.</w:t>
      </w:r>
    </w:p>
    <w:p w14:paraId="5A556D06" w14:textId="1B0311D9" w:rsidR="007A679E" w:rsidRPr="008F641C" w:rsidRDefault="007A679E" w:rsidP="00690298">
      <w:pPr>
        <w:pStyle w:val="Heading4"/>
        <w:numPr>
          <w:ilvl w:val="0"/>
          <w:numId w:val="7"/>
        </w:numPr>
        <w:rPr>
          <w:rFonts w:cs="Times New Roman"/>
        </w:rPr>
      </w:pPr>
      <w:r w:rsidRPr="008F641C">
        <w:rPr>
          <w:rFonts w:cs="Times New Roman"/>
        </w:rPr>
        <w:t xml:space="preserve">Fire Protection. Every townhouse development must be served or </w:t>
      </w:r>
      <w:proofErr w:type="gramStart"/>
      <w:r w:rsidRPr="008F641C">
        <w:rPr>
          <w:rFonts w:cs="Times New Roman"/>
        </w:rPr>
        <w:t>equipped at all times</w:t>
      </w:r>
      <w:proofErr w:type="gramEnd"/>
      <w:r w:rsidRPr="008F641C">
        <w:rPr>
          <w:rFonts w:cs="Times New Roman"/>
        </w:rPr>
        <w:t xml:space="preserve"> with fire hydrant equipment in good working order. The type, size, number and location of hydrants must comply with the applicable rules and regulations of the City, including those of the Oxford Fire Department. Each dwelling unit may be located not more than 1,000 ft from a fire hydrant. </w:t>
      </w:r>
    </w:p>
    <w:p w14:paraId="1A4455A6" w14:textId="7D244A7D" w:rsidR="007A679E" w:rsidRPr="008F641C" w:rsidRDefault="007A679E" w:rsidP="00690298">
      <w:pPr>
        <w:pStyle w:val="Heading4"/>
        <w:numPr>
          <w:ilvl w:val="0"/>
          <w:numId w:val="7"/>
        </w:numPr>
        <w:rPr>
          <w:rFonts w:cs="Times New Roman"/>
        </w:rPr>
      </w:pPr>
      <w:r w:rsidRPr="008F641C">
        <w:rPr>
          <w:rFonts w:cs="Times New Roman"/>
        </w:rPr>
        <w:t>Front facades must be no less than 70% masonry. Rear facades must be no less than 50% masonry. The area of windows and doorways is excluded from this calculation.</w:t>
      </w:r>
    </w:p>
    <w:p w14:paraId="0C9185B9" w14:textId="7AFAFF1A" w:rsidR="007A679E" w:rsidRPr="008F641C" w:rsidRDefault="007A679E" w:rsidP="00690298">
      <w:pPr>
        <w:pStyle w:val="Heading3"/>
        <w:numPr>
          <w:ilvl w:val="0"/>
          <w:numId w:val="4"/>
        </w:numPr>
        <w:rPr>
          <w:rFonts w:cs="Times New Roman"/>
          <w:sz w:val="24"/>
          <w:szCs w:val="24"/>
        </w:rPr>
      </w:pPr>
      <w:r w:rsidRPr="008F641C">
        <w:rPr>
          <w:rFonts w:cs="Times New Roman"/>
          <w:b/>
          <w:bCs/>
          <w:i/>
          <w:sz w:val="24"/>
          <w:szCs w:val="24"/>
        </w:rPr>
        <w:t>Parking Regulations</w:t>
      </w:r>
      <w:r w:rsidRPr="008F641C">
        <w:rPr>
          <w:rFonts w:cs="Times New Roman"/>
          <w:b/>
          <w:bCs/>
          <w:sz w:val="24"/>
          <w:szCs w:val="24"/>
        </w:rPr>
        <w:t>.</w:t>
      </w:r>
      <w:r w:rsidRPr="008F641C">
        <w:rPr>
          <w:rFonts w:cs="Times New Roman"/>
          <w:sz w:val="24"/>
          <w:szCs w:val="24"/>
        </w:rPr>
        <w:t xml:space="preserve"> See </w:t>
      </w:r>
      <w:hyperlink w:anchor="_Parking" w:history="1">
        <w:r w:rsidRPr="008F641C">
          <w:rPr>
            <w:rStyle w:val="Hyperlink"/>
            <w:rFonts w:cs="Times New Roman"/>
            <w:sz w:val="24"/>
            <w:szCs w:val="24"/>
          </w:rPr>
          <w:t>Article 8 Parking</w:t>
        </w:r>
      </w:hyperlink>
      <w:r w:rsidRPr="008F641C">
        <w:rPr>
          <w:rFonts w:cs="Times New Roman"/>
          <w:sz w:val="24"/>
          <w:szCs w:val="24"/>
        </w:rPr>
        <w:t xml:space="preserve">. Off-street parking facilities must be either provided on and to the rear of the individual townhouse </w:t>
      </w:r>
      <w:proofErr w:type="gramStart"/>
      <w:r w:rsidRPr="008F641C">
        <w:rPr>
          <w:rFonts w:cs="Times New Roman"/>
          <w:sz w:val="24"/>
          <w:szCs w:val="24"/>
        </w:rPr>
        <w:t>lots, or</w:t>
      </w:r>
      <w:proofErr w:type="gramEnd"/>
      <w:r w:rsidRPr="008F641C">
        <w:rPr>
          <w:rFonts w:cs="Times New Roman"/>
          <w:sz w:val="24"/>
          <w:szCs w:val="24"/>
        </w:rPr>
        <w:t xml:space="preserve"> grouped in bays in the interior of blocks. Individual driveways are not permitted forward of the front building line of a townhouse lot.</w:t>
      </w:r>
    </w:p>
    <w:p w14:paraId="45C3C793" w14:textId="773F077C" w:rsidR="007A679E" w:rsidRPr="008F641C" w:rsidRDefault="007A679E" w:rsidP="00690298">
      <w:pPr>
        <w:pStyle w:val="Heading3"/>
        <w:numPr>
          <w:ilvl w:val="0"/>
          <w:numId w:val="4"/>
        </w:numPr>
        <w:rPr>
          <w:rFonts w:cs="Times New Roman"/>
          <w:sz w:val="24"/>
          <w:szCs w:val="24"/>
        </w:rPr>
      </w:pPr>
      <w:r w:rsidRPr="008F641C">
        <w:rPr>
          <w:rFonts w:cs="Times New Roman"/>
          <w:b/>
          <w:bCs/>
          <w:i/>
          <w:sz w:val="24"/>
          <w:szCs w:val="24"/>
        </w:rPr>
        <w:t>Review and Approval</w:t>
      </w:r>
      <w:r w:rsidRPr="008F641C">
        <w:rPr>
          <w:rFonts w:cs="Times New Roman"/>
          <w:b/>
          <w:bCs/>
          <w:sz w:val="24"/>
          <w:szCs w:val="24"/>
        </w:rPr>
        <w:t>.</w:t>
      </w:r>
      <w:r w:rsidRPr="008F641C">
        <w:rPr>
          <w:rFonts w:cs="Times New Roman"/>
          <w:sz w:val="24"/>
          <w:szCs w:val="24"/>
        </w:rPr>
        <w:t xml:space="preserve"> All townhouse developments must be approved in accordance with the Oxford Subdivision Regulations prior to the issuance of a zoning permit. Where the requirements or review considerations of this §4.07 conflict with the corresponding requirements of the Subdivision Regulations, the requirements herein govern. The Commission will review the following considerations and may attach such conditions to approval as may be reasonably necessary:</w:t>
      </w:r>
    </w:p>
    <w:p w14:paraId="58DE37FE" w14:textId="4EA1A9CE" w:rsidR="007A679E" w:rsidRPr="008F641C" w:rsidRDefault="007A679E" w:rsidP="00690298">
      <w:pPr>
        <w:pStyle w:val="Heading4"/>
        <w:numPr>
          <w:ilvl w:val="0"/>
          <w:numId w:val="8"/>
        </w:numPr>
        <w:rPr>
          <w:rFonts w:cs="Times New Roman"/>
        </w:rPr>
      </w:pPr>
      <w:r w:rsidRPr="008F641C">
        <w:rPr>
          <w:rFonts w:cs="Times New Roman"/>
        </w:rPr>
        <w:t>Consistency of the proposed development with the Comprehensive Plan</w:t>
      </w:r>
    </w:p>
    <w:p w14:paraId="2B11F7AA" w14:textId="4656EB05" w:rsidR="007A679E" w:rsidRPr="008F641C" w:rsidRDefault="007A679E" w:rsidP="00690298">
      <w:pPr>
        <w:pStyle w:val="Heading4"/>
        <w:numPr>
          <w:ilvl w:val="0"/>
          <w:numId w:val="8"/>
        </w:numPr>
        <w:rPr>
          <w:rFonts w:cs="Times New Roman"/>
        </w:rPr>
      </w:pPr>
      <w:r w:rsidRPr="008F641C">
        <w:rPr>
          <w:rFonts w:cs="Times New Roman"/>
        </w:rPr>
        <w:t>Access, circulation and other traffic impacts of the proposed development on adjoining public streets</w:t>
      </w:r>
    </w:p>
    <w:p w14:paraId="6B56FE7C" w14:textId="354DAD93" w:rsidR="007A679E" w:rsidRPr="008F641C" w:rsidRDefault="007A679E" w:rsidP="00690298">
      <w:pPr>
        <w:pStyle w:val="Heading4"/>
        <w:numPr>
          <w:ilvl w:val="0"/>
          <w:numId w:val="8"/>
        </w:numPr>
        <w:rPr>
          <w:rFonts w:cs="Times New Roman"/>
        </w:rPr>
      </w:pPr>
      <w:r w:rsidRPr="008F641C">
        <w:rPr>
          <w:rFonts w:cs="Times New Roman"/>
        </w:rPr>
        <w:t>Extent to which the layout and design of the development will retain and protect sensitive and enhancing natural features of the site</w:t>
      </w:r>
    </w:p>
    <w:p w14:paraId="036DD110" w14:textId="736FC349" w:rsidR="007A679E" w:rsidRPr="008F641C" w:rsidRDefault="007A679E" w:rsidP="00690298">
      <w:pPr>
        <w:pStyle w:val="Heading4"/>
        <w:numPr>
          <w:ilvl w:val="0"/>
          <w:numId w:val="8"/>
        </w:numPr>
        <w:rPr>
          <w:rFonts w:cs="Times New Roman"/>
        </w:rPr>
      </w:pPr>
      <w:r w:rsidRPr="008F641C">
        <w:rPr>
          <w:rFonts w:cs="Times New Roman"/>
        </w:rPr>
        <w:t>Extent to which architectural design features will complement the predominant architectural styles present in the surrounding neighborhood. All townhouse buildings within a development must be designed and use materials and colors to be aesthetically compatible with one another</w:t>
      </w:r>
    </w:p>
    <w:p w14:paraId="26FA0996" w14:textId="2698680B" w:rsidR="007A679E" w:rsidRPr="008F641C" w:rsidRDefault="007A679E" w:rsidP="00690298">
      <w:pPr>
        <w:pStyle w:val="Heading4"/>
        <w:numPr>
          <w:ilvl w:val="0"/>
          <w:numId w:val="8"/>
        </w:numPr>
        <w:rPr>
          <w:rFonts w:cs="Times New Roman"/>
        </w:rPr>
      </w:pPr>
      <w:r w:rsidRPr="008F641C">
        <w:rPr>
          <w:rFonts w:cs="Times New Roman"/>
        </w:rPr>
        <w:t>Extent to which proposed buildings are designed and oriented to take advantage of scenic views and/or to maximize solar access</w:t>
      </w:r>
    </w:p>
    <w:p w14:paraId="614E90DD" w14:textId="721EA0CC" w:rsidR="007A679E" w:rsidRPr="008F641C" w:rsidRDefault="007A679E" w:rsidP="008F641C">
      <w:pPr>
        <w:pStyle w:val="Heading4"/>
        <w:numPr>
          <w:ilvl w:val="0"/>
          <w:numId w:val="8"/>
        </w:numPr>
        <w:rPr>
          <w:rFonts w:cs="Times New Roman"/>
        </w:rPr>
      </w:pPr>
      <w:r w:rsidRPr="008F641C">
        <w:rPr>
          <w:rFonts w:cs="Times New Roman"/>
        </w:rPr>
        <w:t>Extent to which higher densities on the site are visually screened or buffered from any adjoining single family detached dwellings</w:t>
      </w:r>
    </w:p>
    <w:p w14:paraId="1E18522B" w14:textId="39745331" w:rsidR="007A679E" w:rsidRPr="008F641C" w:rsidRDefault="007A679E" w:rsidP="008F641C">
      <w:pPr>
        <w:pStyle w:val="Heading4"/>
        <w:numPr>
          <w:ilvl w:val="0"/>
          <w:numId w:val="8"/>
        </w:numPr>
        <w:rPr>
          <w:rFonts w:cs="Times New Roman"/>
        </w:rPr>
      </w:pPr>
      <w:r w:rsidRPr="008F641C">
        <w:rPr>
          <w:rFonts w:cs="Times New Roman"/>
        </w:rPr>
        <w:t>Extent to which recreational amenities will be incorporated into the development</w:t>
      </w:r>
    </w:p>
    <w:p w14:paraId="55D0F4D9" w14:textId="77777777" w:rsidR="008F641C" w:rsidRPr="008F641C" w:rsidRDefault="008F641C" w:rsidP="00D122F8">
      <w:pPr>
        <w:pStyle w:val="Hd2Subtext"/>
        <w:rPr>
          <w:rFonts w:ascii="Times New Roman" w:hAnsi="Times New Roman"/>
          <w:b/>
          <w:bCs/>
          <w:sz w:val="24"/>
        </w:rPr>
      </w:pPr>
    </w:p>
    <w:p w14:paraId="381F79EC" w14:textId="77777777" w:rsidR="00D122F8" w:rsidRPr="008F641C" w:rsidRDefault="00D122F8" w:rsidP="00D122F8">
      <w:pPr>
        <w:spacing w:line="360" w:lineRule="auto"/>
        <w:ind w:firstLine="720"/>
        <w:jc w:val="both"/>
      </w:pPr>
      <w:r w:rsidRPr="008F641C">
        <w:t>Section 2.</w:t>
      </w:r>
      <w:r w:rsidRPr="008F641C">
        <w:tab/>
        <w:t>This Ordinance shall become effective upon passage by the Council and by advertising as required by law.</w:t>
      </w:r>
    </w:p>
    <w:p w14:paraId="2A951F76" w14:textId="77777777" w:rsidR="00D122F8" w:rsidRPr="008F641C" w:rsidRDefault="00D122F8" w:rsidP="00D122F8">
      <w:pPr>
        <w:spacing w:line="360" w:lineRule="auto"/>
        <w:ind w:firstLine="720"/>
        <w:jc w:val="both"/>
      </w:pPr>
      <w:r w:rsidRPr="008F641C">
        <w:t>APPROVED and ADOPTED this ____ day of _____________, 2026.</w:t>
      </w:r>
    </w:p>
    <w:p w14:paraId="35E4CBB5" w14:textId="77777777" w:rsidR="00D122F8" w:rsidRPr="008F641C" w:rsidRDefault="00D122F8" w:rsidP="00D122F8">
      <w:pPr>
        <w:spacing w:line="360" w:lineRule="auto"/>
        <w:ind w:firstLine="720"/>
        <w:jc w:val="both"/>
      </w:pPr>
      <w:r w:rsidRPr="008F641C">
        <w:t>CITY COUNCIL OF THE CITY OF OXFORD, ALABAMA</w:t>
      </w:r>
    </w:p>
    <w:p w14:paraId="2567B06D" w14:textId="77777777" w:rsidR="00D122F8" w:rsidRPr="008F641C" w:rsidRDefault="00D122F8" w:rsidP="00D122F8">
      <w:pPr>
        <w:spacing w:line="360" w:lineRule="auto"/>
        <w:ind w:firstLine="720"/>
        <w:jc w:val="both"/>
      </w:pPr>
      <w:r w:rsidRPr="008F641C">
        <w:t>Chris Spurlin, Council President; Phil Gardner, Charlotte Hubbard, Mike Henderson, Steven Waits, Councilmembers</w:t>
      </w:r>
    </w:p>
    <w:p w14:paraId="15E81EFD" w14:textId="77777777" w:rsidR="00D122F8" w:rsidRPr="008F641C" w:rsidRDefault="00D122F8" w:rsidP="00D122F8">
      <w:pPr>
        <w:spacing w:line="360" w:lineRule="auto"/>
        <w:jc w:val="both"/>
      </w:pPr>
      <w:r w:rsidRPr="008F641C">
        <w:lastRenderedPageBreak/>
        <w:t>Approved Alton Craft, Mayor;  Attest: Alan B. Atkinson, City Clerk</w:t>
      </w:r>
    </w:p>
    <w:p w14:paraId="04F99E24" w14:textId="77777777" w:rsidR="00D122F8" w:rsidRPr="008F641C" w:rsidRDefault="00D122F8" w:rsidP="00D122F8">
      <w:r w:rsidRPr="008F641C">
        <w:t xml:space="preserve">Dated this 15th day of May, 2026.  </w:t>
      </w:r>
    </w:p>
    <w:p w14:paraId="77347077" w14:textId="77777777" w:rsidR="00D122F8" w:rsidRPr="008F641C" w:rsidRDefault="00D122F8" w:rsidP="00D122F8"/>
    <w:p w14:paraId="31CB7792" w14:textId="77777777" w:rsidR="00D122F8" w:rsidRPr="008F641C" w:rsidRDefault="00D122F8" w:rsidP="00D122F8">
      <w:r w:rsidRPr="008F641C">
        <w:t>The City of Oxford, Alabama, Alan Atkinson, City Clerk.</w:t>
      </w:r>
    </w:p>
    <w:p w14:paraId="65B6FD12" w14:textId="77777777" w:rsidR="00D122F8" w:rsidRPr="008F641C" w:rsidRDefault="00D122F8" w:rsidP="00D122F8"/>
    <w:p w14:paraId="38177DFF" w14:textId="77777777" w:rsidR="00D122F8" w:rsidRPr="008F641C" w:rsidRDefault="00D122F8" w:rsidP="00D122F8">
      <w:pPr>
        <w:pStyle w:val="Hd2Subtext"/>
        <w:rPr>
          <w:rFonts w:ascii="Times New Roman" w:hAnsi="Times New Roman"/>
          <w:color w:val="000000" w:themeColor="text1"/>
          <w:sz w:val="24"/>
        </w:rPr>
      </w:pPr>
    </w:p>
    <w:p w14:paraId="78496D09" w14:textId="77777777" w:rsidR="00D122F8" w:rsidRPr="008F641C" w:rsidRDefault="00D122F8" w:rsidP="00D122F8"/>
    <w:p w14:paraId="33E8E476" w14:textId="77777777" w:rsidR="00D122F8" w:rsidRPr="008F641C" w:rsidRDefault="00D122F8" w:rsidP="00D122F8"/>
    <w:p w14:paraId="5C16CA9B" w14:textId="77777777" w:rsidR="00FC10DA" w:rsidRPr="008F641C" w:rsidRDefault="00FC10DA"/>
    <w:sectPr w:rsidR="00FC10DA" w:rsidRPr="008F6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3423"/>
    <w:multiLevelType w:val="hybridMultilevel"/>
    <w:tmpl w:val="C316C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718FC"/>
    <w:multiLevelType w:val="hybridMultilevel"/>
    <w:tmpl w:val="D18A3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1191B"/>
    <w:multiLevelType w:val="hybridMultilevel"/>
    <w:tmpl w:val="44CA50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AE6C1A"/>
    <w:multiLevelType w:val="hybridMultilevel"/>
    <w:tmpl w:val="34B09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2444F"/>
    <w:multiLevelType w:val="hybridMultilevel"/>
    <w:tmpl w:val="DD1AAC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272C54"/>
    <w:multiLevelType w:val="hybridMultilevel"/>
    <w:tmpl w:val="B9E637D4"/>
    <w:lvl w:ilvl="0" w:tplc="09B272C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E53C5"/>
    <w:multiLevelType w:val="hybridMultilevel"/>
    <w:tmpl w:val="A1DC22B0"/>
    <w:lvl w:ilvl="0" w:tplc="3D788E88">
      <w:start w:val="1"/>
      <w:numFmt w:val="decimal"/>
      <w:lvlText w:val="%1."/>
      <w:lvlJc w:val="left"/>
      <w:pPr>
        <w:ind w:left="720" w:hanging="360"/>
      </w:pPr>
      <w:rPr>
        <w:rFonts w:hint="default"/>
        <w:b/>
        <w:bCs/>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B7F53"/>
    <w:multiLevelType w:val="hybridMultilevel"/>
    <w:tmpl w:val="9A76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066551">
    <w:abstractNumId w:val="7"/>
  </w:num>
  <w:num w:numId="2" w16cid:durableId="1144004562">
    <w:abstractNumId w:val="0"/>
  </w:num>
  <w:num w:numId="3" w16cid:durableId="1381898822">
    <w:abstractNumId w:val="3"/>
  </w:num>
  <w:num w:numId="4" w16cid:durableId="110364433">
    <w:abstractNumId w:val="6"/>
  </w:num>
  <w:num w:numId="5" w16cid:durableId="227424022">
    <w:abstractNumId w:val="5"/>
  </w:num>
  <w:num w:numId="6" w16cid:durableId="2008240092">
    <w:abstractNumId w:val="1"/>
  </w:num>
  <w:num w:numId="7" w16cid:durableId="6323814">
    <w:abstractNumId w:val="4"/>
  </w:num>
  <w:num w:numId="8" w16cid:durableId="200377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F8"/>
    <w:rsid w:val="000069DD"/>
    <w:rsid w:val="001F4B0E"/>
    <w:rsid w:val="0022325C"/>
    <w:rsid w:val="003025F2"/>
    <w:rsid w:val="00584623"/>
    <w:rsid w:val="00632D45"/>
    <w:rsid w:val="00690298"/>
    <w:rsid w:val="007A679E"/>
    <w:rsid w:val="008F641C"/>
    <w:rsid w:val="00D07C26"/>
    <w:rsid w:val="00D122F8"/>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BB86"/>
  <w15:chartTrackingRefBased/>
  <w15:docId w15:val="{A6D4A853-2FA1-4CF8-9DAA-C944D078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2F8"/>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2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12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2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2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2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2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2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12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2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2F8"/>
    <w:rPr>
      <w:rFonts w:eastAsiaTheme="majorEastAsia" w:cstheme="majorBidi"/>
      <w:color w:val="272727" w:themeColor="text1" w:themeTint="D8"/>
    </w:rPr>
  </w:style>
  <w:style w:type="paragraph" w:styleId="Title">
    <w:name w:val="Title"/>
    <w:basedOn w:val="Normal"/>
    <w:next w:val="Normal"/>
    <w:link w:val="TitleChar"/>
    <w:uiPriority w:val="10"/>
    <w:qFormat/>
    <w:rsid w:val="00D122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2F8"/>
    <w:pPr>
      <w:spacing w:before="160"/>
      <w:jc w:val="center"/>
    </w:pPr>
    <w:rPr>
      <w:i/>
      <w:iCs/>
      <w:color w:val="404040" w:themeColor="text1" w:themeTint="BF"/>
    </w:rPr>
  </w:style>
  <w:style w:type="character" w:customStyle="1" w:styleId="QuoteChar">
    <w:name w:val="Quote Char"/>
    <w:basedOn w:val="DefaultParagraphFont"/>
    <w:link w:val="Quote"/>
    <w:uiPriority w:val="29"/>
    <w:rsid w:val="00D122F8"/>
    <w:rPr>
      <w:i/>
      <w:iCs/>
      <w:color w:val="404040" w:themeColor="text1" w:themeTint="BF"/>
    </w:rPr>
  </w:style>
  <w:style w:type="paragraph" w:styleId="ListParagraph">
    <w:name w:val="List Paragraph"/>
    <w:basedOn w:val="Normal"/>
    <w:uiPriority w:val="34"/>
    <w:qFormat/>
    <w:rsid w:val="00D122F8"/>
    <w:pPr>
      <w:ind w:left="720"/>
      <w:contextualSpacing/>
    </w:pPr>
  </w:style>
  <w:style w:type="character" w:styleId="IntenseEmphasis">
    <w:name w:val="Intense Emphasis"/>
    <w:basedOn w:val="DefaultParagraphFont"/>
    <w:uiPriority w:val="21"/>
    <w:qFormat/>
    <w:rsid w:val="00D122F8"/>
    <w:rPr>
      <w:i/>
      <w:iCs/>
      <w:color w:val="0F4761" w:themeColor="accent1" w:themeShade="BF"/>
    </w:rPr>
  </w:style>
  <w:style w:type="paragraph" w:styleId="IntenseQuote">
    <w:name w:val="Intense Quote"/>
    <w:basedOn w:val="Normal"/>
    <w:next w:val="Normal"/>
    <w:link w:val="IntenseQuoteChar"/>
    <w:uiPriority w:val="30"/>
    <w:qFormat/>
    <w:rsid w:val="00D12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2F8"/>
    <w:rPr>
      <w:i/>
      <w:iCs/>
      <w:color w:val="0F4761" w:themeColor="accent1" w:themeShade="BF"/>
    </w:rPr>
  </w:style>
  <w:style w:type="character" w:styleId="IntenseReference">
    <w:name w:val="Intense Reference"/>
    <w:basedOn w:val="DefaultParagraphFont"/>
    <w:uiPriority w:val="32"/>
    <w:qFormat/>
    <w:rsid w:val="00D122F8"/>
    <w:rPr>
      <w:b/>
      <w:bCs/>
      <w:smallCaps/>
      <w:color w:val="0F4761" w:themeColor="accent1" w:themeShade="BF"/>
      <w:spacing w:val="5"/>
    </w:rPr>
  </w:style>
  <w:style w:type="paragraph" w:customStyle="1" w:styleId="Hd2Subtext">
    <w:name w:val="Hd 2 Subtext"/>
    <w:basedOn w:val="Normal"/>
    <w:qFormat/>
    <w:rsid w:val="00D122F8"/>
    <w:pPr>
      <w:widowControl/>
      <w:autoSpaceDE/>
      <w:autoSpaceDN/>
      <w:adjustRightInd/>
      <w:spacing w:after="120" w:line="252" w:lineRule="auto"/>
    </w:pPr>
    <w:rPr>
      <w:rFonts w:asciiTheme="minorHAnsi" w:eastAsiaTheme="minorHAnsi" w:hAnsiTheme="minorHAnsi"/>
      <w:sz w:val="22"/>
    </w:rPr>
  </w:style>
  <w:style w:type="character" w:styleId="Hyperlink">
    <w:name w:val="Hyperlink"/>
    <w:basedOn w:val="DefaultParagraphFont"/>
    <w:uiPriority w:val="99"/>
    <w:qFormat/>
    <w:rsid w:val="00D122F8"/>
    <w:rPr>
      <w:color w:val="0000FF"/>
      <w:u w:val="single"/>
    </w:rPr>
  </w:style>
  <w:style w:type="paragraph" w:styleId="TOC1">
    <w:name w:val="toc 1"/>
    <w:basedOn w:val="Normal"/>
    <w:next w:val="Normal"/>
    <w:autoRedefine/>
    <w:uiPriority w:val="39"/>
    <w:unhideWhenUsed/>
    <w:qFormat/>
    <w:rsid w:val="007A679E"/>
    <w:pPr>
      <w:widowControl/>
      <w:autoSpaceDE/>
      <w:autoSpaceDN/>
      <w:adjustRightInd/>
      <w:spacing w:before="60" w:after="60" w:line="252" w:lineRule="auto"/>
    </w:pPr>
    <w:rPr>
      <w:rFonts w:asciiTheme="minorHAnsi" w:eastAsiaTheme="minorHAnsi"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5</cp:revision>
  <dcterms:created xsi:type="dcterms:W3CDTF">2026-05-14T14:41:00Z</dcterms:created>
  <dcterms:modified xsi:type="dcterms:W3CDTF">2026-05-14T15:34:00Z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2026-05-14T15:22:59Z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e2f6aa7a-bd8e-4b5e-a365-302d95aab4d8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